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9th Annual</w:t>
      </w:r>
      <w:r w:rsidRPr="00BB1D75" w:rsidR="00693C14">
        <w:rPr>
          <w:rFonts w:ascii="Arial" w:hAnsi="Arial" w:cs="Arial"/>
          <w:b/>
          <w:bCs/>
          <w:color w:val="005EB8"/>
          <w:sz w:val="36"/>
          <w:szCs w:val="36"/>
        </w:rPr>
        <w:t xml:space="preserve"> Children's Mercy Trauma Conference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9/18</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9/18</w:t>
            </w:r>
            <w:r w:rsidRPr="00B946B1">
              <w:rPr>
                <w:rFonts w:asciiTheme="majorHAnsi" w:hAnsiTheme="majorHAnsi" w:cstheme="majorHAnsi"/>
                <w:bCs/>
                <w:noProof/>
              </w:rPr>
              <w:t>/2025 4:00:00 PM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7647</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Off-Site -</w:t>
            </w:r>
            <w:r w:rsidRPr="00B946B1">
              <w:rPr>
                <w:rFonts w:asciiTheme="majorHAnsi" w:hAnsiTheme="majorHAnsi" w:cstheme="majorHAnsi"/>
                <w:bCs/>
                <w:noProof/>
              </w:rPr>
              <w:t xml:space="preserve"> Children's Mercy Park</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Lejla Music Aplenc,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Director of Transfusion Lab and Apheresis Services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Kimberly Hartman,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Grace Arends,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Caroline Tougas,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Laura Kemerling, MSN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Alexis Andrews, LMSW</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Jordon Mitzelfelt,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Children's Mercy Hospital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Danica Harris, LCSW, LSCSW</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Kevin Joles, Other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Kristopher Short, BSN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b/>
                <w:bCs/>
                <w:rtl w:val="0"/>
              </w:rPr>
              <w:t>We are honored to bring the 9</w:t>
            </w:r>
            <w:r>
              <w:rPr>
                <w:b/>
                <w:bCs/>
                <w:vertAlign w:val="superscript"/>
                <w:rtl w:val="0"/>
              </w:rPr>
              <w:t>th</w:t>
            </w:r>
            <w:r>
              <w:rPr>
                <w:b/>
                <w:bCs/>
                <w:rtl w:val="0"/>
              </w:rPr>
              <w:t xml:space="preserve"> Annual Children’s Mercy Trauma Conference to Kansas City.  The conference will focus on the many challenges facing healthcare professionals involved in the care of traumatically injured children.  It will provide up-to-date clinical information for the management of injured children and their families. </w:t>
            </w:r>
          </w:p>
          <w:p>
            <w:pPr>
              <w:bidi w:val="0"/>
              <w:spacing w:after="280" w:afterAutospacing="1"/>
              <w:rPr>
                <w:rtl w:val="0"/>
              </w:rPr>
            </w:pPr>
            <w:r>
              <w:rPr>
                <w:b/>
                <w:bCs/>
                <w:rtl w:val="0"/>
              </w:rPr>
              <w:t>Location: Children's Mercy Park-Budweiser Brew House</w:t>
            </w:r>
          </w:p>
          <w:p>
            <w:pPr>
              <w:bidi w:val="0"/>
              <w:spacing w:after="280" w:afterAutospacing="1"/>
              <w:rPr>
                <w:rtl w:val="0"/>
              </w:rPr>
            </w:pPr>
            <w:r>
              <w:rPr>
                <w:b/>
                <w:bCs/>
                <w:rtl w:val="0"/>
              </w:rPr>
              <w:t>1 Sporting Way, Kansas City, KS 66111</w:t>
            </w:r>
          </w:p>
          <w:p>
            <w:pPr>
              <w:bidi w:val="0"/>
              <w:spacing w:after="280" w:afterAutospacing="1"/>
              <w:rPr>
                <w:rtl w:val="0"/>
              </w:rPr>
            </w:pPr>
            <w:r>
              <w:rPr>
                <w:rtl w:val="0"/>
              </w:rPr>
              <w:t>Children's Mercy Park | Sporting Kansas City</w:t>
            </w:r>
          </w:p>
          <w:p>
            <w:pPr>
              <w:bidi w:val="0"/>
              <w:spacing w:after="280" w:afterAutospacing="1"/>
              <w:rPr>
                <w:rtl w:val="0"/>
              </w:rPr>
            </w:pPr>
            <w:r>
              <w:rPr>
                <w:b/>
                <w:bCs/>
                <w:rtl w:val="0"/>
              </w:rPr>
              <w:t>Topics: Pediatric Cardiac Arrest, Pelvic Injuries in Children, Resources for Trauma Care,Rural Trauma, Injury Prevention, Whole Blood, Pediatric Trauma Case Study</w:t>
            </w:r>
          </w:p>
          <w:p>
            <w:pPr>
              <w:bidi w:val="0"/>
              <w:spacing w:after="280" w:afterAutospacing="1"/>
              <w:rPr>
                <w:rtl w:val="0"/>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0.00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0.00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6.00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noProof/>
        </w:rPr>
        <w:instrText>6.00</w:instrText>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p>
    <w:p w:rsidR="00DE4578" w:rsidP="00833E38">
      <w:pPr>
        <w:spacing w:before="240" w:after="120"/>
        <w:rPr>
          <w:rFonts w:asciiTheme="majorHAnsi" w:hAnsiTheme="majorHAnsi" w:cstheme="majorHAnsi"/>
          <w:b/>
          <w:iCs/>
        </w:rPr>
      </w:pPr>
      <w:r>
        <w:rPr>
          <w:rFonts w:asciiTheme="majorHAnsi" w:hAnsiTheme="majorHAnsi" w:cstheme="majorHAnsi"/>
          <w:b/>
          <w:iCs/>
        </w:rPr>
        <w:t>Nursing Contact Hours</w:t>
      </w:r>
    </w:p>
    <w:p w:rsidR="000A6A32" w:rsidP="00833E38">
      <w:pPr>
        <w:spacing w:before="240" w:after="120"/>
        <w:rPr>
          <w:rFonts w:asciiTheme="majorHAnsi" w:hAnsiTheme="majorHAnsi" w:cstheme="majorHAnsi"/>
          <w:bCs/>
          <w:iCs/>
        </w:rPr>
      </w:pPr>
      <w:r>
        <w:rPr>
          <w:rFonts w:asciiTheme="majorHAnsi" w:hAnsiTheme="majorHAnsi" w:cstheme="majorHAnsi"/>
          <w:bCs/>
          <w:iCs/>
        </w:rPr>
        <w:t xml:space="preserve">This educational activity has been awarded </w:t>
      </w:r>
      <w:r>
        <w:rPr>
          <w:rFonts w:asciiTheme="majorHAnsi" w:hAnsiTheme="majorHAnsi" w:cstheme="majorHAnsi"/>
          <w:bCs/>
          <w:iCs/>
          <w:noProof/>
        </w:rPr>
        <w:t>6.00</w:t>
      </w:r>
      <w:r>
        <w:rPr>
          <w:rFonts w:asciiTheme="majorHAnsi" w:hAnsiTheme="majorHAnsi" w:cstheme="majorHAnsi"/>
          <w:bCs/>
          <w:iCs/>
        </w:rPr>
        <w:t xml:space="preserve"> nursing contact hours.</w:t>
      </w:r>
    </w:p>
    <w:p w:rsidP="00833E38">
      <w:pPr>
        <w:spacing w:before="240" w:after="120"/>
        <w:rPr>
          <w:rFonts w:asciiTheme="majorHAnsi" w:hAnsiTheme="majorHAnsi" w:cstheme="majorHAnsi"/>
          <w:b/>
          <w:iCs/>
        </w:rPr>
      </w:pPr>
      <w:r>
        <w:rPr>
          <w:rFonts w:asciiTheme="majorHAnsi" w:hAnsiTheme="majorHAnsi" w:cstheme="majorHAnsi"/>
          <w:bCs/>
          <w:iCs/>
        </w:rPr>
        <w:t>Children's Mercy Kansas City is approved as a provider of nursing continuing professional development by the Midwest Multistate Division, an accredited provider by the American Nurses Credntialing Center's Commission on Accreditation.</w:t>
      </w:r>
      <w:r>
        <w:rPr>
          <w:rFonts w:asciiTheme="majorHAnsi" w:hAnsiTheme="majorHAnsi" w:cstheme="majorHAnsi"/>
          <w:b/>
          <w:iCs/>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507BEB">
        <w:rPr>
          <w:rFonts w:asciiTheme="majorHAnsi" w:hAnsiTheme="majorHAnsi" w:cstheme="majorHAnsi"/>
          <w:b/>
          <w:iCs/>
          <w:noProof/>
        </w:rPr>
        <w:instrText>6.00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Children's Mercy Trauma Hours</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w:t>
      </w:r>
      <w:r w:rsidRPr="00B946B1" w:rsidR="00581AD3">
        <w:rPr>
          <w:rFonts w:asciiTheme="majorHAnsi" w:hAnsiTheme="majorHAnsi" w:cstheme="majorHAnsi"/>
          <w:bCs/>
          <w:iCs/>
        </w:rPr>
        <w:t xml:space="preserve">activity is approved for </w:t>
      </w:r>
      <w:r w:rsidRPr="00B946B1" w:rsidR="00581AD3">
        <w:rPr>
          <w:rFonts w:asciiTheme="majorHAnsi" w:hAnsiTheme="majorHAnsi" w:cstheme="majorHAnsi"/>
          <w:bCs/>
          <w:iCs/>
        </w:rPr>
        <w:t xml:space="preserve"> trauma credit(s) for healthcare providers by the Children's Mercy Trauma Service.</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2.75</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2.75</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2.75</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8.40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noProof/>
        </w:rPr>
        <w:instrText>8.40</w:instrText>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t>Respiratory Therapy</w:t>
      </w:r>
    </w:p>
    <w:p w:rsidRPr="00B946B1" w:rsidP="001C7210">
      <w:pPr>
        <w:spacing w:after="120"/>
        <w:rPr>
          <w:rFonts w:asciiTheme="majorHAnsi" w:hAnsiTheme="majorHAnsi" w:cstheme="majorHAnsi"/>
          <w:b/>
          <w:iCs/>
        </w:rPr>
      </w:pPr>
      <w:r w:rsidRPr="00B946B1">
        <w:rPr>
          <w:rFonts w:asciiTheme="majorHAnsi" w:hAnsiTheme="majorHAnsi" w:cstheme="majorHAnsi"/>
          <w:bCs/>
          <w:iCs/>
        </w:rPr>
        <w:t xml:space="preserve">Children's Mercy Hospital's CE Evaluator has approved this program for </w:t>
      </w:r>
      <w:r w:rsidRPr="00B946B1">
        <w:rPr>
          <w:rFonts w:asciiTheme="majorHAnsi" w:hAnsiTheme="majorHAnsi" w:cstheme="majorHAnsi"/>
          <w:bCs/>
          <w:iCs/>
          <w:noProof/>
        </w:rPr>
        <w:t>8.40</w:t>
      </w:r>
      <w:r w:rsidRPr="00B946B1">
        <w:rPr>
          <w:rFonts w:asciiTheme="majorHAnsi" w:hAnsiTheme="majorHAnsi" w:cstheme="majorHAnsi"/>
          <w:bCs/>
          <w:iCs/>
        </w:rPr>
        <w:t xml:space="preserve"> hours of Respiratory Continuing Education on behalf of the Kansas Respiratory Care Society, a chapter of the AARC. Providership #KRCS003</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Lejla Music Aplenc,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Hartman,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Grace Arends,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Caroline Tougas,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Kemerling,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Alexis Andrews, LMSW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Jordon Mitzelfelt,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Danica Harris, LCSW, LSCSW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Kevin Joles,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Kristopher Short,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