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Pediatric</w:t>
      </w:r>
      <w:r w:rsidRPr="00BB1D75" w:rsidR="00693C14">
        <w:rPr>
          <w:rFonts w:ascii="Arial" w:hAnsi="Arial" w:cs="Arial"/>
          <w:b/>
          <w:bCs/>
          <w:color w:val="005EB8"/>
          <w:sz w:val="36"/>
          <w:szCs w:val="36"/>
        </w:rPr>
        <w:t xml:space="preserve"> Grand Rounds - Detecting and Managing Youth at Risk for Suicide: Using Research to Inform Practice - Judy and Dr. Wayne Hart Endowed Lectureship in Pediatric Mental Health</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2/19</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2/19</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BB1D75">
              <w:rPr>
                <w:rFonts w:asciiTheme="majorHAnsi" w:hAnsiTheme="majorHAnsi" w:cstheme="majorHAnsi"/>
                <w:b/>
                <w:noProof/>
                <w:color w:val="009F4D"/>
              </w:rPr>
              <w:t>8704</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Lisa Horowitz, PhD, MPH</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Director, Suicide Prevention and Hospital-Based Research, University of Colorado School of Medicine / Children’s Hospital Colorado Professor (Visiting), Department of Psychiatry, University of Colorado School of Medicine, Special Volunteer, Office of the Clinical Director, NIMH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CU School of Medicine / Children's Hospital Colorado</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from mobile devices) </w:t>
            </w:r>
            <w:r>
              <w:rPr>
                <w:rFonts w:ascii="Aptos" w:eastAsia="Aptos" w:hAnsi="Aptos" w:cs="Aptos"/>
                <w:sz w:val="24"/>
                <w:szCs w:val="24"/>
                <w:rtl w:val="0"/>
              </w:rPr>
              <w:t>https://cmkc.tv/48cMIto</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Identify</w:t>
      </w:r>
      <w:r w:rsidRPr="00B946B1">
        <w:rPr>
          <w:rFonts w:asciiTheme="majorHAnsi" w:hAnsiTheme="majorHAnsi" w:cstheme="majorHAnsi"/>
        </w:rPr>
        <w:t xml:space="preserve"> youth suicide as a national and global public health threat with significant disparities.</w:t>
      </w:r>
    </w:p>
    <w:p w:rsidRPr="00B946B1" w:rsidP="006A623D">
      <w:pPr>
        <w:spacing w:line="240" w:lineRule="auto"/>
        <w:rPr>
          <w:rFonts w:asciiTheme="majorHAnsi" w:hAnsiTheme="majorHAnsi" w:cstheme="majorHAnsi"/>
        </w:rPr>
      </w:pPr>
      <w:r w:rsidRPr="00B946B1">
        <w:rPr>
          <w:rFonts w:asciiTheme="majorHAnsi" w:hAnsiTheme="majorHAnsi" w:cstheme="majorHAnsi"/>
        </w:rPr>
        <w:t>1 Maintain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Pr="00B946B1" w:rsidP="006A623D">
      <w:pPr>
        <w:spacing w:line="240" w:lineRule="auto"/>
        <w:rPr>
          <w:rFonts w:asciiTheme="majorHAnsi" w:hAnsiTheme="majorHAnsi" w:cstheme="majorHAnsi"/>
        </w:rPr>
      </w:pPr>
      <w:r w:rsidRPr="00B946B1">
        <w:rPr>
          <w:rFonts w:asciiTheme="majorHAnsi" w:hAnsiTheme="majorHAnsi" w:cstheme="majorHAnsi"/>
        </w:rPr>
        <w:t xml:space="preserve">2 Describe research on suicide prevention in the medical setting and how it is applied to improve efficiency and effectiveness in clinical settings. </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Describe how suicide risk screening can be feasibly implemented as part of clinical pathways in clinical settings.</w:t>
      </w:r>
    </w:p>
    <w:p w:rsidR="001921CF"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CRITERIA FOR SUCCESSFUL COMPLETION:</w:t>
      </w:r>
    </w:p>
    <w:p w:rsidR="001921CF" w:rsidP="001921CF">
      <w:pPr>
        <w:pStyle w:val="ListParagraph"/>
        <w:numPr>
          <w:ilvl w:val="0"/>
          <w:numId w:val="1"/>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1921CF" w:rsidP="001921CF">
      <w:pPr>
        <w:pStyle w:val="ListParagraph"/>
        <w:numPr>
          <w:ilvl w:val="0"/>
          <w:numId w:val="1"/>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1921CF" w:rsidRPr="001921CF" w:rsidP="001921CF">
      <w:pPr>
        <w:pStyle w:val="ListParagraph"/>
        <w:numPr>
          <w:ilvl w:val="0"/>
          <w:numId w:val="1"/>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 xml:space="preserve">This activty has been planned and implemented in accordance with the accreditation requirements and policies of the Missouri State Medical Association through the joint providership of The Children's Mercy Hospital and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The Children's Mercy Hospital is accredited by the Missouri State Medical Association 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Children's Mercy Hospital is accredited by the Missouri State Medical Association 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maxiumum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Children's Mercy Hospital is accredited by the Missouri State Medical Association 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maxiumum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63720F">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51424175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63720F">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801932789"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307755"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307755" w:rsidP="000D1A06">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307755"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w:instrText>
      </w:r>
    </w:p>
    <w:p w:rsidR="00307755" w:rsidP="00307755">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307755" w:rsidP="00307755">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7" name="Picture 7"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w:instrText>
      </w:r>
    </w:p>
    <w:p w:rsidR="00307755" w:rsidP="00307755">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443AB0" w:rsidP="00307755">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9" name="Picture 9"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 xml:space="preserve">Successful completion of this CME activity, which includes participation in the evaluation component, enables the learner to earn credit toward the CME and </w:instrText>
      </w:r>
      <w:r>
        <w:rPr>
          <w:rFonts w:asciiTheme="majorHAnsi" w:hAnsiTheme="majorHAnsi" w:cstheme="majorHAnsi"/>
          <w:bCs/>
          <w:iCs/>
        </w:rPr>
        <w:instrText>Improving Health and Health Care</w:instrText>
      </w:r>
      <w:r>
        <w:rPr>
          <w:rFonts w:asciiTheme="majorHAnsi" w:hAnsiTheme="majorHAnsi" w:cstheme="majorHAnsi"/>
          <w:bCs/>
          <w:iCs/>
        </w:rPr>
        <w:instrText xml:space="preserve"> requirements of the American Board of Physical Medicine and Rehabilitation's Continuous Certification program. It is the CME activity provider's responsibility to submit learner completion information to ACCME for the purpose of granting ABPMR credit.</w:instrText>
      </w:r>
      <w:r>
        <w:rPr>
          <w:rFonts w:asciiTheme="majorHAnsi" w:hAnsiTheme="majorHAnsi" w:cstheme="majorHAnsi"/>
          <w:bCs/>
          <w:iCs/>
        </w:rPr>
        <w:instrTex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w:instrText>
      </w:r>
    </w:p>
    <w:p w:rsidR="00443AB0" w:rsidP="00443AB0">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615379" w:rsidP="000D1A06">
      <w:pPr>
        <w:spacing w:before="240" w:after="120"/>
        <w:rPr>
          <w:rFonts w:asciiTheme="majorHAnsi" w:hAnsiTheme="majorHAnsi" w:cstheme="majorHAnsi"/>
          <w:b/>
          <w:b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792501314"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noProof/>
        </w:rPr>
        <w:instrText>1.00</w:instrText>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307755">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307755">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Participants who meet the criteria for successful completion will receive </w:t>
      </w:r>
      <w:r>
        <w:rPr>
          <w:rFonts w:asciiTheme="majorHAnsi" w:hAnsiTheme="majorHAnsi" w:cstheme="majorHAnsi"/>
          <w:bCs/>
          <w:iCs/>
          <w:noProof/>
        </w:rPr>
        <w:t>1.00</w:t>
      </w:r>
      <w:r>
        <w:rPr>
          <w:rFonts w:asciiTheme="majorHAnsi" w:hAnsiTheme="majorHAnsi" w:cstheme="majorHAnsi"/>
          <w:bCs/>
          <w:iCs/>
        </w:rPr>
        <w:t xml:space="preserve">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307755">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307755">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307755">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307755">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noProof/>
        </w:rPr>
        <w:instrText>1.00</w:instrText>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t>Radiology</w:t>
      </w:r>
    </w:p>
    <w:p w:rsidRPr="00B946B1" w:rsidP="0095107F">
      <w:pPr>
        <w:spacing w:after="120"/>
        <w:rPr>
          <w:rFonts w:asciiTheme="majorHAnsi" w:hAnsiTheme="majorHAnsi" w:cstheme="majorHAnsi"/>
          <w:b/>
          <w:iCs/>
        </w:rPr>
      </w:pPr>
      <w:r w:rsidRPr="00B946B1">
        <w:rPr>
          <w:rFonts w:asciiTheme="majorHAnsi" w:hAnsiTheme="majorHAnsi" w:cstheme="majorHAnsi"/>
          <w:bCs/>
          <w:iCs/>
        </w:rPr>
        <w:t xml:space="preserve">This activity has been approved by ASRT for </w:t>
      </w:r>
      <w:r w:rsidRPr="00B946B1">
        <w:rPr>
          <w:rFonts w:asciiTheme="majorHAnsi" w:hAnsiTheme="majorHAnsi" w:cstheme="majorHAnsi"/>
          <w:bCs/>
          <w:iCs/>
          <w:noProof/>
        </w:rPr>
        <w:t>1.00</w:t>
      </w:r>
      <w:r w:rsidRPr="00B946B1">
        <w:rPr>
          <w:rFonts w:asciiTheme="majorHAnsi" w:hAnsiTheme="majorHAnsi" w:cstheme="majorHAnsi"/>
          <w:bCs/>
          <w:iCs/>
        </w:rPr>
        <w:t xml:space="preserve"> Category A CE credits.</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1.20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noProof/>
        </w:rPr>
        <w:instrText>1.20</w:instrText>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t>Respiratory Therapy</w:t>
      </w:r>
    </w:p>
    <w:p w:rsidRPr="00B946B1" w:rsidP="001C7210">
      <w:pPr>
        <w:spacing w:after="120"/>
        <w:rPr>
          <w:rFonts w:asciiTheme="majorHAnsi" w:hAnsiTheme="majorHAnsi" w:cstheme="majorHAnsi"/>
          <w:b/>
          <w:iCs/>
        </w:rPr>
      </w:pPr>
      <w:r w:rsidRPr="00B946B1">
        <w:rPr>
          <w:rFonts w:asciiTheme="majorHAnsi" w:hAnsiTheme="majorHAnsi" w:cstheme="majorHAnsi"/>
          <w:bCs/>
          <w:iCs/>
        </w:rPr>
        <w:t xml:space="preserve">Children's Mercy Hospital's CE Evaluator has approved this program for </w:t>
      </w:r>
      <w:r w:rsidRPr="00B946B1">
        <w:rPr>
          <w:rFonts w:asciiTheme="majorHAnsi" w:hAnsiTheme="majorHAnsi" w:cstheme="majorHAnsi"/>
          <w:bCs/>
          <w:iCs/>
          <w:noProof/>
        </w:rPr>
        <w:t>1.20</w:t>
      </w:r>
      <w:r w:rsidRPr="00B946B1">
        <w:rPr>
          <w:rFonts w:asciiTheme="majorHAnsi" w:hAnsiTheme="majorHAnsi" w:cstheme="majorHAnsi"/>
          <w:bCs/>
          <w:iCs/>
        </w:rPr>
        <w:t xml:space="preserve"> hours of Respiratory Continuing Education on behalf of the Kansas Respiratory Care Society, a chapter of the AARC. Providership #KRCS003</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noProof/>
        </w:rPr>
        <w:instrText>1.00</w:instrText>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t>Social Work</w:t>
      </w:r>
    </w:p>
    <w:p w:rsidRPr="00B946B1" w:rsidP="008B1A6E">
      <w:pPr>
        <w:spacing w:before="240" w:after="120"/>
        <w:rPr>
          <w:rFonts w:asciiTheme="majorHAnsi" w:hAnsiTheme="majorHAnsi" w:cstheme="majorHAnsi"/>
          <w:b/>
          <w:iCs/>
        </w:rPr>
      </w:pPr>
      <w:r w:rsidRPr="00B946B1">
        <w:rPr>
          <w:rFonts w:asciiTheme="majorHAnsi" w:hAnsiTheme="majorHAnsi" w:cstheme="majorHAnsi"/>
          <w:bCs/>
          <w:iCs/>
          <w:noProof/>
        </w:rPr>
        <w:t>1.00</w:t>
      </w:r>
      <w:r w:rsidRPr="00B946B1">
        <w:rPr>
          <w:rFonts w:asciiTheme="majorHAnsi" w:hAnsiTheme="majorHAnsi" w:cstheme="majorHAnsi"/>
          <w:bCs/>
          <w:iCs/>
        </w:rPr>
        <w:t xml:space="preserve"> Social Work CEU's will be provided to licensed social workers. Children's Mercy Hospital's Department of Social Work and Community Service has been approved as a Continuing Education Provider by the State of Kansas Behavioral Sciences Regulatory Board.</w:t>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sidR="008B1A6E">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A Benton,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Blasi,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Elrod, DNP,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L Hill,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Horowitz, PhD,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Newman,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Jaime Silva-Gburek,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 L Solano,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Willen,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bl>
    <w:p w:rsidR="00993B4D">
      <w:pPr>
        <w:bidi w:val="0"/>
        <w:spacing w:after="280" w:afterAutospacing="1"/>
        <w:rPr>
          <w:rFonts w:asciiTheme="majorHAnsi" w:hAnsiTheme="majorHAnsi" w:cstheme="majorHAnsi"/>
          <w:iCs/>
          <w:noProof/>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sectPr w:rsidSect="001921CF">
      <w:headerReference w:type="default" r:id="rId14"/>
      <w:footerReference w:type="default" r:id="rId15"/>
      <w:pgSz w:w="12240" w:h="15840"/>
      <w:pgMar w:top="1152" w:right="864" w:bottom="864" w:left="864"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EE3" w:rsidRPr="001921CF">
    <w:pPr>
      <w:pStyle w:val="Footer"/>
      <w:rPr>
        <w:rFonts w:asciiTheme="majorHAnsi" w:hAnsiTheme="majorHAnsi" w:cstheme="majorHAnsi"/>
      </w:rPr>
    </w:pPr>
    <w:r w:rsidRPr="001921CF">
      <w:rPr>
        <w:rFonts w:asciiTheme="majorHAnsi" w:hAnsiTheme="majorHAnsi" w:cstheme="majorHAnsi"/>
        <w:noProof/>
      </w:rPr>
      <w:drawing>
        <wp:anchor distT="0" distB="0" distL="114300" distR="114300" simplePos="0" relativeHeight="251659264" behindDoc="1" locked="0" layoutInCell="1" allowOverlap="1">
          <wp:simplePos x="0" y="0"/>
          <wp:positionH relativeFrom="page">
            <wp:align>left</wp:align>
          </wp:positionH>
          <wp:positionV relativeFrom="paragraph">
            <wp:posOffset>-476250</wp:posOffset>
          </wp:positionV>
          <wp:extent cx="7921731" cy="619760"/>
          <wp:effectExtent l="0" t="0" r="3175" b="8890"/>
          <wp:wrapTight wrapText="bothSides">
            <wp:wrapPolygon>
              <wp:start x="0" y="0"/>
              <wp:lineTo x="0" y="21246"/>
              <wp:lineTo x="21557" y="21246"/>
              <wp:lineTo x="21557"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l="7958" t="33899" b="10968"/>
                  <a:stretch/>
                </pic:blipFill>
                <pic:spPr bwMode="auto">
                  <a:xfrm>
                    <a:off x="0" y="0"/>
                    <a:ext cx="7921731" cy="619760"/>
                  </a:xfrm>
                  <a:prstGeom prst="rect">
                    <a:avLst/>
                  </a:prstGeom>
                  <a:noFill/>
                  <a:ln>
                    <a:noFill/>
                  </a:ln>
                  <a:extLst>
                    <a:ext uri="{53640926-AAD7-44D8-BBD7-CCE9431645EC}">
                      <a14:shadowObscured xmlns:a14="http://schemas.microsoft.com/office/drawing/2010/main"/>
                    </a:ext>
                  </a:extLst>
                </pic:spPr>
              </pic:pic>
            </a:graphicData>
          </a:graphic>
        </wp:anchor>
      </w:drawing>
    </w:r>
    <w:r w:rsidRPr="001921CF" w:rsidR="001921CF">
      <w:rPr>
        <w:rFonts w:asciiTheme="majorHAnsi" w:hAnsiTheme="majorHAnsi" w:cstheme="majorHAnsi"/>
      </w:rPr>
      <w:t>Rev. 2/2026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-181610</wp:posOffset>
          </wp:positionV>
          <wp:extent cx="7774305" cy="633730"/>
          <wp:effectExtent l="0" t="0" r="0" b="0"/>
          <wp:wrapTight wrapText="bothSides">
            <wp:wrapPolygon>
              <wp:start x="21600" y="21600"/>
              <wp:lineTo x="21600" y="822"/>
              <wp:lineTo x="58" y="822"/>
              <wp:lineTo x="58" y="21600"/>
              <wp:lineTo x="21600" y="2160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l="7706" t="32823" r="1398" b="10285"/>
                  <a:stretch/>
                </pic:blipFill>
                <pic:spPr bwMode="auto">
                  <a:xfrm rot="10800000">
                    <a:off x="0" y="0"/>
                    <a:ext cx="7774305" cy="63373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inline distT="0" distB="0" distL="0" distR="0">
          <wp:extent cx="2000250" cy="421970"/>
          <wp:effectExtent l="0" t="0" r="0" b="0"/>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pic:blipFill>
                <pic:spPr bwMode="auto">
                  <a:xfrm>
                    <a:off x="0" y="0"/>
                    <a:ext cx="2000250" cy="421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7129E"/>
    <w:multiLevelType w:val="hybridMultilevel"/>
    <w:tmpl w:val="FC9C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AB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192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Props1.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2.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4.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3</cp:revision>
  <dcterms:created xsi:type="dcterms:W3CDTF">2026-02-04T15:13:00Z</dcterms:created>
  <dcterms:modified xsi:type="dcterms:W3CDTF">2026-02-04T16:54:00Z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