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Why Be Scared of a Hat? - The Dr. J. Patrick and Jane Murphy Endowed Lectureship for Urology</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8/10</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8/10</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5794</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 and 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Christopher S Cooper, MD, FACS, FAAP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 Professor and Vice Chairman of Urology at the University of Iowa, Iowa City. He also serves as Director of the Pediatric Urology Division at the Children’s Hospital</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University of Iowa</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"https://cmkc.tv/3Jq0xaU"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Explain</w:t>
      </w:r>
      <w:r w:rsidRPr="00581AD3">
        <w:rPr>
          <w:rFonts w:asciiTheme="majorHAnsi" w:hAnsiTheme="majorHAnsi" w:cstheme="majorHAnsi"/>
          <w:sz w:val="20"/>
          <w:szCs w:val="20"/>
        </w:rPr>
        <w:t xml:space="preserve"> the current limitations in grading vesicoureteral reflux and congenital hydronephrosis and several methods to address these limitations.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 xml:space="preserve">2 Discuss the current limitations in characterizing and managing patients with a neurogenic bladder based on urodynamics. </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Describe the current limitations in evaluating and managing patients with hypospadias.</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4 Discuss ways to examine and critically assess your current patient assessments and managements.</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RTHoursMax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«RTHoursMax»</w:instrText>
      </w:r>
      <w:r w:rsidRPr="00581AD3">
        <w:rPr>
          <w:rFonts w:ascii="Calibri" w:hAnsi="Calibri"/>
          <w:bCs/>
          <w:iCs/>
          <w:sz w:val="20"/>
          <w:szCs w:val="20"/>
        </w:rPr>
        <w:fldChar w:fldCharType="end"/>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S Cooper, MD, FACS,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- 12/28/2022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- 07/14/2023</w:t>
            </w:r>
          </w:p>
        </w:tc>
      </w:tr>
    </w:tbl>
    <w:p w:rsidR="00394BCA" w:rsidRPr="00581AD3">
      <w:pPr>
        <w:bidi w:val="0"/>
        <w:spacing w:after="280" w:afterAutospacing="1"/>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