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Short Bowel Syndrome in Children: Surgical Options and Scientific Opportunities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4/13</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4/13</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5799</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Brad Warner,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Jessie L. Ternberg, MD PhD Distinguished Professor of Pediatric Surgery and chief surgeon for the St. Louis Children's Hospital. In addition to general pediatric surgery, his surgical specialties include short bowel syndrome, necrotizing enterocolitis and inflammatory bowl diseases.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St. Louis Children's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"https://cmkc.tv/3TnOWwR"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pPr>
              <w:bidi w:val="0"/>
              <w:spacing w:after="280" w:afterAutospacing="1"/>
              <w:rPr>
                <w:rtl w:val="0"/>
              </w:rPr>
            </w:pPr>
            <w:r>
              <w:rPr>
                <w:rtl w:val="0"/>
              </w:rPr>
              <w:br/>
            </w:r>
            <w:r>
              <w:rPr>
                <w:rtl w:val="0"/>
              </w:rPr>
              <w:br/>
            </w:r>
            <w:r>
              <w:rPr>
                <w:rtl w:val="0"/>
              </w:rPr>
              <w:t>Objective(s): 1 Describe the survival of children with Short Bowel Syndrome 2 Discuss the various surgical options for short gut syndrome 3 Characterize the physiologic changes in the remnant bowel after massive intestinal loss</w:t>
            </w:r>
            <w:r>
              <w:rPr>
                <w:rtl w:val="0"/>
              </w:rPr>
              <w:br/>
            </w:r>
            <w:r>
              <w:rPr>
                <w:rtl w:val="0"/>
              </w:rPr>
              <w:t>Location: Adele Hall - Auditorium (West Lobby)</w:t>
            </w:r>
            <w:r>
              <w:rPr>
                <w:rtl w:val="0"/>
              </w:rPr>
              <w:br/>
            </w:r>
            <w:r>
              <w:rPr>
                <w:rtl w:val="0"/>
              </w:rPr>
              <w:t>Specialties: Anesthesiology, Dental Clinic, Family Practice, Graduate Medical Education, Internal Medicine/Pediatrics, Ophthalmology, Orthopaedics, Pathology/Clinical Labs, Pediatrics, Radiology, Research, Surgery, All Specialties</w:t>
            </w:r>
            <w:r>
              <w:rPr>
                <w:rtl w:val="0"/>
              </w:rPr>
              <w:br/>
            </w:r>
            <w:r>
              <w:rPr>
                <w:rtl w:val="0"/>
              </w:rPr>
              <w:br/>
            </w:r>
            <w:r>
              <w:rPr>
                <w:rtl w:val="0"/>
              </w:rPr>
              <w:t xml:space="preserve">Faculty Disclosures: </w:t>
            </w:r>
            <w:r>
              <w:rPr>
                <w:rtl w:val="0"/>
              </w:rPr>
              <w:br/>
            </w:r>
            <w:r>
              <w:rPr>
                <w:rtl w:val="0"/>
              </w:rPr>
              <w:t>Brad Warner, MD (Consulting Fee-Takeda Pharmaceuticals (Any division) (Relationship has ended) - 02/11/2023)</w:t>
            </w:r>
            <w:r>
              <w:rPr>
                <w:rtl w:val="0"/>
              </w:rPr>
              <w:br/>
            </w:r>
            <w:r>
              <w:rPr>
                <w:rtl w:val="0"/>
              </w:rPr>
              <w:fldChar w:fldCharType="begin"/>
            </w:r>
            <w:r>
              <w:rPr>
                <w:rtl w:val="0"/>
              </w:rPr>
              <w:instrText xml:space="preserve"> HYPERLINK "https://childrensmercy.cloud-cme.com/Assets/childrensmercy/activities/5799/Brochure_5799.pdf" </w:instrText>
            </w:r>
            <w:r>
              <w:rPr>
                <w:rtl w:val="0"/>
              </w:rPr>
              <w:fldChar w:fldCharType="separate"/>
            </w:r>
            <w:r>
              <w:rPr>
                <w:color w:val="0000FF"/>
                <w:u w:val="single"/>
                <w:rtl w:val="0"/>
              </w:rPr>
              <w:t>Download Handout</w:t>
            </w:r>
            <w:r>
              <w:rPr>
                <w:rtl w:val="0"/>
              </w:rPr>
              <w:fldChar w:fldCharType="end"/>
            </w:r>
            <w:r>
              <w:rPr>
                <w:rtl w:val="0"/>
              </w:rPr>
              <w:t xml:space="preserve"> </w:t>
            </w: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the survival of children with Short Bowel Syndrome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Discuss the various surgical options for short gut syndrome</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Characterize the physiologic changes in the remnant bowel after massive intestinal loss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Children's Mercy Trauma Hours</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w:t>
      </w:r>
      <w:r w:rsidRPr="00581AD3" w:rsidR="00581AD3">
        <w:rPr>
          <w:rFonts w:ascii="Calibri" w:hAnsi="Calibri"/>
          <w:bCs/>
          <w:iCs/>
          <w:sz w:val="20"/>
          <w:szCs w:val="20"/>
        </w:rPr>
        <w:t xml:space="preserve">activity is approved for </w:t>
      </w:r>
      <w:r w:rsidRPr="00581AD3" w:rsidR="00581AD3">
        <w:rPr>
          <w:rFonts w:ascii="Calibri" w:hAnsi="Calibri"/>
          <w:bCs/>
          <w:iCs/>
          <w:sz w:val="20"/>
          <w:szCs w:val="20"/>
        </w:rPr>
        <w:t xml:space="preserve"> trauma credit(s) for healthcare providers by the Children's Mercy Trauma Service.</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 Warner,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Fee-Takeda Pharmaceuticals (Any division) (Relationship has ended) - 02/11/2023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