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Chronic Kidney Disease in Children: Lessons Learned from the CKiD Study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4/20</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4/20</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5800</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Bradley A Warady , MD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Division Director, Pediatric Nephrology; Director, Dialysis &amp; Transplantation; McLaughlin Family Endowed Chair in Nephrology; Professor of Pediatrics, University of Missouri-Kansas City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Mercy Kansas City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"https://cmkc.tv/3FxRTFD"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Convey</w:t>
      </w:r>
      <w:r w:rsidRPr="00581AD3">
        <w:rPr>
          <w:rFonts w:asciiTheme="majorHAnsi" w:hAnsiTheme="majorHAnsi" w:cstheme="majorHAnsi"/>
          <w:sz w:val="20"/>
          <w:szCs w:val="20"/>
        </w:rPr>
        <w:t xml:space="preserve"> the Definition of Chronic Kidney Disease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2 Describe 3 Modifiable Risk Factors for Progression of Chronic Kidney Disease </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List 3 Complications of Chronic Kidney Disease in Children</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Bradley A Warady , MD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Fee-Bayer (Any division)|Consulting Fee-Reata (Relationship has ended)|Consulting Fee-Roche (Any division)|Consulting Fee-Amgen, Inc.|Consulting Fee-Light Line Medical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