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From the Bedside to the Bench and Back to the Bedside and the Community: Antiretroviral effects on Mitochondria</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5/4</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5/4</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5802</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Elijah Paintsil, MD, FAAP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Professor of Pediatrics (Infectious Diseases), Pharmacology, Public Health &amp; Management; Chief, Section of Pediatric Infectious Diseases &amp; Global Health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Yale School of Medicine, Child Health Research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"https://cmkc.tv/42iro0z"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the increasing prevalence of Metabolic Syndrome (MetS) in people living with HIV (PLWH)</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Illustrate how MetS is occurring at an early age in PLWH and the consequences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the components and diagnostic criteria for Metabolic Syndrome (MetS)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Review etiopathogenesis of MetS in children living with HIV</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Elijah Paintsil,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