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Vascular Anomalies: Current Management and Drug Development</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5/11</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5/11</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5803</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Online</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Arin K. Greene,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Co-Director, Boston Lymphatic Center-Lymphatic Educational Research Network Lymphatic Disorders Center of Excellence</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Beth Israel Deaconess Medical Center /Boston Children's Hospital;</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"https://cmkc.tv/3n16XW1"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Accurately</w:t>
      </w:r>
      <w:r w:rsidRPr="00581AD3">
        <w:rPr>
          <w:rFonts w:asciiTheme="majorHAnsi" w:hAnsiTheme="majorHAnsi" w:cstheme="majorHAnsi"/>
          <w:sz w:val="20"/>
          <w:szCs w:val="20"/>
        </w:rPr>
        <w:t xml:space="preserve"> classify vascular anomalies.</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2 Identify basic management of the major types of vascular anomalies.</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Describe emerging drug treatments for vascular malformations.</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«RTHoursMax»</w:instrText>
      </w:r>
      <w:r w:rsidRPr="00581AD3">
        <w:rPr>
          <w:rFonts w:ascii="Calibri" w:hAnsi="Calibri"/>
          <w:bCs/>
          <w:iCs/>
          <w:sz w:val="20"/>
          <w:szCs w:val="20"/>
        </w:rPr>
        <w:fldChar w:fldCharType="end"/>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Arin K. Greene,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Royalties or Patent Beneficiary-Springer|Royalties or Patent Beneficiary-Thieme|Royalties or Patent Beneficiary-BMJ|Royalties or Patent Beneficiary-Wolters|Membership on Advisory Committees or Review Panels, Board Membership, etc.-Curtina Health - 03/01/2023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- 06/22/2022</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22</cp:revision>
  <dcterms:created xsi:type="dcterms:W3CDTF">2022-11-10T18:52:00Z</dcterms:created>
  <dcterms:modified xsi:type="dcterms:W3CDTF">2022-11-14T19:44:00Z</dcterms:modified>
</cp:coreProperties>
</file>