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Healing Healthcare Together: The Dr. Lorna Breen Heroes’ Foundation</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5/18</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5/18</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5804</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 Corey Feist, JD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Healthcare Executive and Co-Founder of the Dr. Lorna Breen Heroes' Foundation; Adjunct Faculty, UVA Darden School of Business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Dr. Lorna Breen Heroes' Foundation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"https://cmkc.tv/3KZJcpi"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issues contributing to the burnout of the healthcare workforce; </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Discuss the role that questions, about mental health, play in prolonging stigma around mental health access among physicians and healthcare providers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 xml:space="preserve">3 Identify specific actions that boards, credentialing organizations, and physician employers can take to remove barriers to mental health access. </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Develop solutions to address burnout and support professional well-being of healthcare providers.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Dietician</w:t>
      </w:r>
    </w:p>
    <w:p w:rsidR="00D16426" w:rsidRPr="00581AD3" w:rsidP="00D16426">
      <w:pPr>
        <w:spacing w:before="240" w:after="120"/>
        <w:rPr>
          <w:rFonts w:ascii="Calibri" w:hAnsi="Calibri"/>
          <w:b/>
          <w:iCs/>
          <w:sz w:val="20"/>
          <w:szCs w:val="20"/>
        </w:rPr>
      </w:pPr>
      <w:r w:rsidRPr="00581AD3">
        <w:rPr>
          <w:rFonts w:ascii="Calibri" w:hAnsi="Calibri"/>
          <w:bCs/>
          <w:iCs/>
          <w:sz w:val="20"/>
          <w:szCs w:val="20"/>
        </w:rPr>
        <w:t xml:space="preserve">This program has been approved for Dietician Continuing Education credit by the KDHE, Kansas Sponsorship #D1273, for </w:t>
      </w:r>
      <w:r w:rsidRPr="00581AD3">
        <w:rPr>
          <w:rFonts w:ascii="Calibri" w:hAnsi="Calibri"/>
          <w:bCs/>
          <w:iCs/>
          <w:noProof/>
          <w:sz w:val="20"/>
          <w:szCs w:val="20"/>
        </w:rPr>
        <w:t>1.00</w:t>
      </w:r>
      <w:r w:rsidRPr="00581AD3">
        <w:rPr>
          <w:rFonts w:ascii="Calibri" w:hAnsi="Calibri"/>
          <w:bCs/>
          <w:iCs/>
          <w:sz w:val="20"/>
          <w:szCs w:val="20"/>
        </w:rPr>
        <w:t xml:space="preserve"> clock hour(s).</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noProof/>
          <w:sz w:val="20"/>
          <w:szCs w:val="20"/>
        </w:rPr>
        <w:instrText>1.00</w:instrText>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Social Work</w:t>
      </w:r>
    </w:p>
    <w:p w:rsidRPr="00581AD3" w:rsidP="00D16426">
      <w:pPr>
        <w:spacing w:before="240" w:after="120"/>
        <w:rPr>
          <w:rFonts w:ascii="Calibri" w:hAnsi="Calibri"/>
          <w:b/>
          <w:iCs/>
          <w:sz w:val="20"/>
          <w:szCs w:val="20"/>
        </w:rPr>
      </w:pPr>
      <w:r w:rsidRPr="00581AD3">
        <w:rPr>
          <w:rFonts w:ascii="Calibri" w:hAnsi="Calibri"/>
          <w:bCs/>
          <w:iCs/>
          <w:noProof/>
          <w:sz w:val="20"/>
          <w:szCs w:val="20"/>
        </w:rPr>
        <w:t>1.00</w:t>
      </w:r>
      <w:r w:rsidRPr="00581AD3">
        <w:rPr>
          <w:rFonts w:ascii="Calibri" w:hAnsi="Calibri"/>
          <w:bCs/>
          <w:iCs/>
          <w:sz w:val="20"/>
          <w:szCs w:val="20"/>
        </w:rPr>
        <w:t xml:space="preserve"> Social Work CEU's will be provided to licensed social workers. Children's Mercy Hospital's Department of Social Work and Community Service has been approved as a Continuing Education Provider by the State of Kansas Behavioral Sciences Regulatory Board.</w:t>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 Corey Feist,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- 03/31/2023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