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Alport Syndrome: Using Rare Disease Registries to Advance Care (Stanley Hellerstein, MD Lectureship in Nephrology)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6/15</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6/15</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5808</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Michelle Rheault,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Director, Division of Pediatric Nephrology; Director, Center for Women in Medicine and Science; Associate Professor of Pediatrics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Minnesota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"https://cmkc.tv/3MeBwjy"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pPr>
              <w:bidi w:val="0"/>
              <w:spacing w:after="280" w:afterAutospacing="1"/>
              <w:rPr>
                <w:rtl w:val="0"/>
              </w:rPr>
            </w:pPr>
            <w:r>
              <w:rPr>
                <w:b/>
                <w:bCs/>
                <w:color w:val="0070C0"/>
                <w:rtl w:val="0"/>
              </w:rPr>
              <w:t>This is our Annual Stanley Hellerstein, MD Lectureship in Nephrology</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Apply</w:t>
      </w:r>
      <w:r w:rsidRPr="00581AD3">
        <w:rPr>
          <w:rFonts w:asciiTheme="majorHAnsi" w:hAnsiTheme="majorHAnsi" w:cstheme="majorHAnsi"/>
          <w:sz w:val="20"/>
          <w:szCs w:val="20"/>
        </w:rPr>
        <w:t xml:space="preserve"> the diagnostic evaluation for children with microscopic hematuria</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Manage the routine monitoring and treatment of children with Alport syndrome</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Identify how to utilize Alport syndrome registries for clinical and translational research.</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Rheault,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support-Chinook|Grant or research support-Akebia|Grant or research support-Travere|Grant or research support-Reata (Relationship has ended)|Grant or research support-River 3 Renal|Consulting Fee-Visterra|Grant or research support-Sanofi S.A. (Relationship has ended) - 05/05/2023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