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All We Have Is Each Other: Why Child Health Professionals Need to Be Effective Advocates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8/31</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8/31</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5819</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Benjamin Hoffman, MD, CPST-I, FAAP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AAP President-elect, Professor of Pediatrics, Division of General Pediatrics, School of Medicine Medical Director, Tom Sargent Safety Center Director, Oregon Center for Children &amp; Youth with Special Health Needs (OCCYSHN)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What's Best for Kids LLC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"https://cmkc.tv/3CG8LYQ"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Define</w:t>
      </w:r>
      <w:r w:rsidRPr="00581AD3">
        <w:rPr>
          <w:rFonts w:asciiTheme="majorHAnsi" w:hAnsiTheme="majorHAnsi" w:cstheme="majorHAnsi"/>
          <w:sz w:val="20"/>
          <w:szCs w:val="20"/>
        </w:rPr>
        <w:t xml:space="preserve"> physician advocacy.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Describe the role of child health professionals as child advocates.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Discuss skills necessary for community and policy advocacy for children.</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RadHoursMax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«RadHoursMax»</w:instrText>
      </w:r>
      <w:r w:rsidRPr="00581AD3">
        <w:rPr>
          <w:rFonts w:ascii="Calibri" w:hAnsi="Calibri"/>
          <w:bCs/>
          <w:iCs/>
          <w:sz w:val="20"/>
          <w:szCs w:val="20"/>
        </w:rPr>
        <w:fldChar w:fldCharType="end"/>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Benjamin Hoffman, MD, CPST-I,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