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Preventative Genomics: The Path to Universal Sequencing - The Dr. Julius M. and Marjorie R. Kantor Endowed Lectureship</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9/21</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9/21</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5822</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Robert C. Green, MD, MPH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of Medicine (Genetics); Director, Genomes2People Research Program, Preventive Genomics Clinic, Population Precision Health at Ariadne Labs, Mass General Brigham, Broad Institute, Ariadne Labs, Harvard Medical School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"https://cmkc.tv/458Cupt"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pPr>
              <w:bidi w:val="0"/>
              <w:spacing w:after="280" w:afterAutospacing="1"/>
              <w:rPr>
                <w:rtl w:val="0"/>
              </w:rPr>
            </w:pPr>
            <w:r>
              <w:rPr>
                <w:b/>
                <w:bCs/>
                <w:rtl w:val="0"/>
              </w:rPr>
              <w:t>This is our annual Dr. Julius M. and Marjorie R. Kantor Endowed Lectureship</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Explore</w:t>
      </w:r>
      <w:r w:rsidRPr="00581AD3">
        <w:rPr>
          <w:rFonts w:asciiTheme="majorHAnsi" w:hAnsiTheme="majorHAnsi" w:cstheme="majorHAnsi"/>
          <w:sz w:val="20"/>
          <w:szCs w:val="20"/>
        </w:rPr>
        <w:t xml:space="preserve"> the current state of genomics research and its potential to improve human health through personalized and preventative medicine.</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1 Assess whether follow up was appropriate or exaggerated for babies identified with unanticipated monogenic disease risk findings in the BabySeq Project.</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Discuss the arguments for and against population based genetic screening.</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Identify the percentages of healthy adults and infants who carry unanticipated monogenic disease risks or atypical pharmacogenomic variants as observed in the MedSeq and BabySeq projects.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Explain the difference between indication-based genetic testing and predictive genetic testing.</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5 Describe the actions taken for both infants and their families in the BabySeq Project based on unanticipated monogenic disease risks.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- 08/08/2023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Robert C. Green, MD,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Paid consultant-Allelica|Paid consultant-Atria|Paid consultant-Fabric|Paid consultant-Genome Web|Paid consultant-Genomic Life|Paid consultant-Juniper Genomics|Ownership-Genome Medical|Ownership-Nurture Genomics - 07/26/2023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cp:revision>
  <dcterms:created xsi:type="dcterms:W3CDTF">2023-09-08T03:33:00Z</dcterms:created>
  <dcterms:modified xsi:type="dcterms:W3CDTF">2023-09-08T03:33:00Z</dcterms:modified>
</cp:coreProperties>
</file>