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Focusing on Functioning After Fetal Repair of Spina Bifida - Dr. Gregory Hornig Endowed Lectureship in Spina Bifida</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10/12</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10/12</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5825</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Amy Houtrow, MD, PhD,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Endowed Chair Pediatric Rehabilitation Medicine, Vice-Chair for Quality, Department of Physical Medicine &amp; Rehabilitation, School of Medicine, University of Pittsburgh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UPMC Children’s Hospital of Pittsburgh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"https://cmkc.tv/3ExpH4O"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the impact of fetal repair surgery in the MOMS trial on hydrocephalus and cognition.</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1 Describe the physical functioning outcomes after Fetal surgery in MOMS.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Recognize post-MOMS interventions.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DO</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Houtrow, MD, PhD,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- 09/21/2023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