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Screening for Developmental Dysplasia of the Hip: The Latest Guidelines - Dr. Rex and Lillian Diveley Pediatric Orthopaedic Lectureship</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11/2</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11/2</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5828</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CMRI Auditorium</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William L. Hennrikus,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Emeritus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Penn State College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"https://cmkc.tv/3PxFjvg"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Summarize</w:t>
      </w:r>
      <w:r w:rsidRPr="00581AD3">
        <w:rPr>
          <w:rFonts w:asciiTheme="majorHAnsi" w:hAnsiTheme="majorHAnsi" w:cstheme="majorHAnsi"/>
          <w:sz w:val="20"/>
          <w:szCs w:val="20"/>
        </w:rPr>
        <w:t xml:space="preserve"> how to screen and when to refer for DDH in children in the first year of life.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Describe the physical exam findings of DDH in a 1 year old.</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Discuss the indications for ultrasound in the screening for DDH</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Explain the role of swaddling in DDH</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William L. Hennrikus,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