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The Evolution of Pharmacotherapy for Pediatric Obesity - Kemper Healthy Lifestyles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11/9</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11/9</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5829</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Daniel S. Hsia,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Pennington Biomedical Research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"https://cmkc.tv/3tHadZO"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Summarize</w:t>
      </w:r>
      <w:r w:rsidRPr="00581AD3">
        <w:rPr>
          <w:rFonts w:asciiTheme="majorHAnsi" w:hAnsiTheme="majorHAnsi" w:cstheme="majorHAnsi"/>
          <w:sz w:val="20"/>
          <w:szCs w:val="20"/>
        </w:rPr>
        <w:t xml:space="preserve"> current guidelines on using pharmacotherapy for pediatric obesity.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Describe the currently approved pharmacotherapy for pediatric obesity.</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Discuss future research and pharmacotherapy for pediatric obesity.</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S. Hsia,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research)-Novo Nordisk (Any division)|Independent Contractor (included contracted research)-Vivus, Inc.|Independent Contractor (included contracted research)-Moderna, Inc.|Independent Contractor (included contracted research)-Lilly (Any division) - 09/01/2023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