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Promoting Equity in Early Child Development through Pediatric Primary Care and Partnerships with the Community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11/30</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11/30</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5832</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Alan Mendelsohn,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Pediatrics and Population Health; Director, Video Interaction Project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NYU Grossman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"https://cmkc.tv/400SqJb"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strategies for prevention of disparities in early child development and school readiness through support for early relational health and activities such as reading aloud and play.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Recognize the role of pediatric health care in population-level, primary prevention of disparities in early child development and school readiness.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Identify opportunities for integrating pediatric health care with home visiting and the community in early childhood preventive efforts.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1.20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1.20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Alan Mendelsohn,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