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Research &amp; Advocacy: Ethical Considerations for Pediatric Health Researchers</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12/7</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12/7</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5833</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Adele Hall</w:t>
            </w:r>
            <w:r w:rsidRPr="00581AD3">
              <w:rPr>
                <w:rFonts w:asciiTheme="majorHAnsi" w:hAnsiTheme="majorHAnsi" w:cstheme="majorHAnsi"/>
                <w:bCs/>
                <w:noProof/>
                <w:sz w:val="20"/>
                <w:szCs w:val="20"/>
              </w:rPr>
              <w:t xml:space="preserve"> - Auditorium (West Lobby)</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Mary Ott, MD, MA</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Professor of Pediatrics, Indiana University School of Medicine, Adjunct Professor of Philosophy, Indiana University-Purdue University at Indianapolis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Indiana University School of Medicine</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"https://cmkc.tv/45HLdyR"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Discuss</w:t>
      </w:r>
      <w:r w:rsidRPr="00581AD3">
        <w:rPr>
          <w:rFonts w:asciiTheme="majorHAnsi" w:hAnsiTheme="majorHAnsi" w:cstheme="majorHAnsi"/>
          <w:sz w:val="20"/>
          <w:szCs w:val="20"/>
        </w:rPr>
        <w:t xml:space="preserve"> how advocacy decisions are embedded in research design and methods.</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2 Identify three potential pitfalls when advocacy drives research.</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Describe methods to protect the rigor of advocacy-driven research against these pitfalls.</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RadHoursMax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«RadHoursMax»</w:instrText>
      </w:r>
      <w:r w:rsidRPr="00581AD3">
        <w:rPr>
          <w:rFonts w:ascii="Calibri" w:hAnsi="Calibri"/>
          <w:bCs/>
          <w:iCs/>
          <w:sz w:val="20"/>
          <w:szCs w:val="20"/>
        </w:rPr>
        <w:fldChar w:fldCharType="end"/>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«RTHoursMax»</w:instrText>
      </w:r>
      <w:r w:rsidRPr="00581AD3">
        <w:rPr>
          <w:rFonts w:ascii="Calibri" w:hAnsi="Calibri"/>
          <w:bCs/>
          <w:iCs/>
          <w:sz w:val="20"/>
          <w:szCs w:val="20"/>
        </w:rPr>
        <w:fldChar w:fldCharType="end"/>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noProof/>
          <w:sz w:val="20"/>
          <w:szCs w:val="20"/>
        </w:rPr>
        <w:instrText>1.00</w:instrText>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Social Work</w:t>
      </w:r>
    </w:p>
    <w:p w:rsidRPr="00581AD3" w:rsidP="00D16426">
      <w:pPr>
        <w:spacing w:before="240" w:after="120"/>
        <w:rPr>
          <w:rFonts w:ascii="Calibri" w:hAnsi="Calibri"/>
          <w:b/>
          <w:iCs/>
          <w:sz w:val="20"/>
          <w:szCs w:val="20"/>
        </w:rPr>
      </w:pPr>
      <w:r w:rsidRPr="00581AD3">
        <w:rPr>
          <w:rFonts w:ascii="Calibri" w:hAnsi="Calibri"/>
          <w:bCs/>
          <w:iCs/>
          <w:noProof/>
          <w:sz w:val="20"/>
          <w:szCs w:val="20"/>
        </w:rPr>
        <w:t>1.00</w:t>
      </w:r>
      <w:r w:rsidRPr="00581AD3">
        <w:rPr>
          <w:rFonts w:ascii="Calibri" w:hAnsi="Calibri"/>
          <w:bCs/>
          <w:iCs/>
          <w:sz w:val="20"/>
          <w:szCs w:val="20"/>
        </w:rPr>
        <w:t xml:space="preserve"> Social Work CEU's will be provided to licensed social workers. Children's Mercy Hospital's Department of Social Work and Community Service has been approved as a Continuing Education Provider by the State of Kansas Behavioral Sciences Regulatory Board.</w:t>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Mary Ott, MD, MA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Spouse is employee who receives salary and stock options; we jointly own small stock holders-Eli Lily, Inc. - 11/20/2023</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cp:revision>
  <dcterms:created xsi:type="dcterms:W3CDTF">2023-09-08T03:33:00Z</dcterms:created>
  <dcterms:modified xsi:type="dcterms:W3CDTF">2023-09-08T03:33:00Z</dcterms:modified>
</cp:coreProperties>
</file>