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Let’s Break Your NEC: A Pneumatosis Story</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12/14</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12/14</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5834</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Adele Hall</w:t>
            </w:r>
            <w:r w:rsidRPr="00581AD3">
              <w:rPr>
                <w:rFonts w:asciiTheme="majorHAnsi" w:hAnsiTheme="majorHAnsi" w:cstheme="majorHAnsi"/>
                <w:bCs/>
                <w:noProof/>
                <w:sz w:val="20"/>
                <w:szCs w:val="20"/>
              </w:rPr>
              <w:t xml:space="preserve"> - Auditorium (West Lobby)</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Chris Laird,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Childrens mercy</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"https://cmkc.tv/46FX55K"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Discuss</w:t>
      </w:r>
      <w:r w:rsidRPr="00581AD3">
        <w:rPr>
          <w:rFonts w:asciiTheme="majorHAnsi" w:hAnsiTheme="majorHAnsi" w:cstheme="majorHAnsi"/>
          <w:sz w:val="20"/>
          <w:szCs w:val="20"/>
        </w:rPr>
        <w:t xml:space="preserve"> the different etiologies of pneumatosis intestinalis.</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1 Recognize limitations in radiologic diagnosis.</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Form a differential diagnosis when presented with a patient with pneumatosis.</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4 Create a treatment plan for that diagnosis, including indications for surgical consultation.</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0.50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0.50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0.50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«RTHoursMax»</w:instrText>
      </w:r>
      <w:r w:rsidRPr="00581AD3">
        <w:rPr>
          <w:rFonts w:ascii="Calibri" w:hAnsi="Calibri"/>
          <w:bCs/>
          <w:iCs/>
          <w:sz w:val="20"/>
          <w:szCs w:val="20"/>
        </w:rPr>
        <w:fldChar w:fldCharType="end"/>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 Laird,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- 11/08/2023</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cp:revision>
  <dcterms:created xsi:type="dcterms:W3CDTF">2023-09-08T03:33:00Z</dcterms:created>
  <dcterms:modified xsi:type="dcterms:W3CDTF">2023-09-08T03:33:00Z</dcterms:modified>
</cp:coreProperties>
</file>