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Addressing Trauma Exposure: Update on Best Practices to Improve Outcomes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1/18</w:t>
            </w:r>
            <w:r w:rsidRPr="00581AD3">
              <w:rPr>
                <w:rFonts w:asciiTheme="majorHAnsi" w:hAnsiTheme="majorHAnsi" w:cstheme="majorHAnsi"/>
                <w:bCs/>
                <w:noProof/>
                <w:sz w:val="20"/>
                <w:szCs w:val="20"/>
              </w:rPr>
              <w:t>/2024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1/18</w:t>
            </w:r>
            <w:r w:rsidRPr="00581AD3">
              <w:rPr>
                <w:rFonts w:asciiTheme="majorHAnsi" w:hAnsiTheme="majorHAnsi" w:cstheme="majorHAnsi"/>
                <w:bCs/>
                <w:noProof/>
                <w:sz w:val="20"/>
                <w:szCs w:val="20"/>
              </w:rPr>
              <w:t>/2024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6611</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Gary (Doug) Myers,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Shayla Sullivant,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Section Chief of Psychiatry, Joy and Stuart Koesten Endowed Professor in Developmental and Behavioral Health, Developmental and Behavioral Sciences, 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Patty Davis, LSCSW LCSW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Program Manager Trauma Informed Care, 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"https://cmkc.tv/3RwQBQc" </w:instrText>
            </w:r>
            <w:r>
              <w:rPr>
                <w:rtl w:val="0"/>
              </w:rPr>
              <w:fldChar w:fldCharType="separate"/>
            </w:r>
            <w:r>
              <w:rPr>
                <w:color w:val="0000FF"/>
                <w:u w:val="single"/>
                <w:rtl w:val="0"/>
              </w:rPr>
              <w:t>Click here to join the presentation from your laptop or computer.</w:t>
            </w:r>
            <w:r>
              <w:rPr>
                <w:rtl w:val="0"/>
              </w:rPr>
              <w:fldChar w:fldCharType="end"/>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Define</w:t>
      </w:r>
      <w:r w:rsidRPr="00581AD3">
        <w:rPr>
          <w:rFonts w:asciiTheme="majorHAnsi" w:hAnsiTheme="majorHAnsi" w:cstheme="majorHAnsi"/>
          <w:sz w:val="20"/>
          <w:szCs w:val="20"/>
        </w:rPr>
        <w:t xml:space="preserve"> benefits of assessing symptoms of trauma exposure in pediatric healthcare.</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1 Describe the 6 key themes important to facilitate patient comfortability in disclosing.</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2 Build toolkit to increase confidence and competence when addressing of trauma exposure with area of practice.</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p>
    <w:p w:rsidR="00D16426" w:rsidRPr="00581AD3" w:rsidP="00D16426">
      <w:pPr>
        <w:spacing w:before="240" w:after="120"/>
        <w:rPr>
          <w:rFonts w:ascii="Calibri" w:hAnsi="Calibri"/>
          <w:b/>
          <w:iCs/>
          <w:sz w:val="20"/>
          <w:szCs w:val="20"/>
        </w:rPr>
      </w:pPr>
      <w:r w:rsidRPr="00581AD3">
        <w:rPr>
          <w:rFonts w:ascii="Calibri" w:hAnsi="Calibri"/>
          <w:b/>
          <w:iCs/>
          <w:sz w:val="20"/>
          <w:szCs w:val="20"/>
        </w:rPr>
        <w:t>Children's Mercy Trauma Hours</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w:t>
      </w:r>
      <w:r w:rsidRPr="00581AD3" w:rsidR="00581AD3">
        <w:rPr>
          <w:rFonts w:ascii="Calibri" w:hAnsi="Calibri"/>
          <w:bCs/>
          <w:iCs/>
          <w:sz w:val="20"/>
          <w:szCs w:val="20"/>
        </w:rPr>
        <w:t xml:space="preserve">activity is approved for </w:t>
      </w:r>
      <w:r w:rsidRPr="00581AD3" w:rsidR="00581AD3">
        <w:rPr>
          <w:rFonts w:ascii="Calibri" w:hAnsi="Calibri"/>
          <w:bCs/>
          <w:iCs/>
          <w:sz w:val="20"/>
          <w:szCs w:val="20"/>
        </w:rPr>
        <w:t xml:space="preserve"> trauma credit(s) for healthcare providers by the Children's Mercy Trauma Service.</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p>
    <w:p w:rsidR="00D16426" w:rsidRPr="00581AD3" w:rsidP="00D16426">
      <w:pPr>
        <w:spacing w:before="240" w:after="120"/>
        <w:rPr>
          <w:rFonts w:ascii="Calibri" w:hAnsi="Calibri"/>
          <w:b/>
          <w:iCs/>
          <w:sz w:val="20"/>
          <w:szCs w:val="20"/>
        </w:rPr>
      </w:pPr>
      <w:r w:rsidRPr="00581AD3">
        <w:rPr>
          <w:rFonts w:ascii="Calibri" w:hAnsi="Calibri"/>
          <w:b/>
          <w:iCs/>
          <w:sz w:val="20"/>
          <w:szCs w:val="20"/>
        </w:rPr>
        <w:t>Dietician</w:t>
      </w:r>
    </w:p>
    <w:p w:rsidR="00D16426" w:rsidRPr="00581AD3" w:rsidP="00D16426">
      <w:pPr>
        <w:spacing w:before="240" w:after="120"/>
        <w:rPr>
          <w:rFonts w:ascii="Calibri" w:hAnsi="Calibri"/>
          <w:b/>
          <w:iCs/>
          <w:sz w:val="20"/>
          <w:szCs w:val="20"/>
        </w:rPr>
      </w:pPr>
      <w:r w:rsidRPr="00581AD3">
        <w:rPr>
          <w:rFonts w:ascii="Calibri" w:hAnsi="Calibri"/>
          <w:bCs/>
          <w:iCs/>
          <w:sz w:val="20"/>
          <w:szCs w:val="20"/>
        </w:rPr>
        <w:t xml:space="preserve">This program has been approved for Dietician Continuing Education credit by the KDHE, Kansas Sponsorship #D1273, for </w:t>
      </w:r>
      <w:r w:rsidRPr="00581AD3">
        <w:rPr>
          <w:rFonts w:ascii="Calibri" w:hAnsi="Calibri"/>
          <w:bCs/>
          <w:iCs/>
          <w:noProof/>
          <w:sz w:val="20"/>
          <w:szCs w:val="20"/>
        </w:rPr>
        <w:t>1.00</w:t>
      </w:r>
      <w:r w:rsidRPr="00581AD3">
        <w:rPr>
          <w:rFonts w:ascii="Calibri" w:hAnsi="Calibri"/>
          <w:bCs/>
          <w:iCs/>
          <w:sz w:val="20"/>
          <w:szCs w:val="20"/>
        </w:rPr>
        <w:t xml:space="preserve"> clock hour(s).</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Radiology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This activity has been approved by ASRT for </w:t>
      </w:r>
      <w:r w:rsidRPr="00581AD3">
        <w:rPr>
          <w:rFonts w:ascii="Calibri" w:hAnsi="Calibri"/>
          <w:bCs/>
          <w:iCs/>
          <w:noProof/>
          <w:sz w:val="20"/>
          <w:szCs w:val="20"/>
        </w:rPr>
        <w:t>1.00</w:t>
      </w:r>
      <w:r w:rsidRPr="00581AD3">
        <w:rPr>
          <w:rFonts w:ascii="Calibri" w:hAnsi="Calibri"/>
          <w:bCs/>
          <w:iCs/>
          <w:sz w:val="20"/>
          <w:szCs w:val="20"/>
        </w:rPr>
        <w:t xml:space="preserve"> Category A CE credits.</w:t>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noProof/>
          <w:sz w:val="20"/>
          <w:szCs w:val="20"/>
        </w:rPr>
        <w:instrText>1.00</w:instrText>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Respiratory Therapy</w:t>
      </w:r>
    </w:p>
    <w:p w:rsidRPr="00581AD3" w:rsidP="00D16426">
      <w:pPr>
        <w:spacing w:before="240" w:after="120"/>
        <w:rPr>
          <w:rFonts w:ascii="Calibri" w:hAnsi="Calibri"/>
          <w:b/>
          <w:iCs/>
          <w:sz w:val="20"/>
          <w:szCs w:val="20"/>
        </w:rPr>
      </w:pPr>
      <w:r w:rsidRPr="00581AD3">
        <w:rPr>
          <w:rFonts w:ascii="Calibri" w:hAnsi="Calibri"/>
          <w:bCs/>
          <w:iCs/>
          <w:sz w:val="20"/>
          <w:szCs w:val="20"/>
        </w:rPr>
        <w:t xml:space="preserve">Children's Mercy Hospital's CE Evaluator has approved this program for </w:t>
      </w:r>
      <w:r w:rsidRPr="00581AD3">
        <w:rPr>
          <w:rFonts w:ascii="Calibri" w:hAnsi="Calibri"/>
          <w:bCs/>
          <w:iCs/>
          <w:noProof/>
          <w:sz w:val="20"/>
          <w:szCs w:val="20"/>
        </w:rPr>
        <w:t>1.00</w:t>
      </w:r>
      <w:r w:rsidRPr="00581AD3">
        <w:rPr>
          <w:rFonts w:ascii="Calibri" w:hAnsi="Calibri"/>
          <w:bCs/>
          <w:iCs/>
          <w:sz w:val="20"/>
          <w:szCs w:val="20"/>
        </w:rPr>
        <w:t xml:space="preserve"> hours of Respiratory Continuing Education on behalf of the Kansas Respiratory Care Society, a chapter of the AARC. Providership #KRCS003</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noProof/>
          <w:sz w:val="20"/>
          <w:szCs w:val="20"/>
        </w:rPr>
        <w:instrText>1.00</w:instrText>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p>
    <w:p w:rsidR="007C1BE6" w:rsidRPr="00581AD3" w:rsidP="00D16426">
      <w:pPr>
        <w:spacing w:before="240" w:after="120"/>
        <w:rPr>
          <w:rFonts w:ascii="Calibri" w:hAnsi="Calibri"/>
          <w:b/>
          <w:iCs/>
          <w:sz w:val="20"/>
          <w:szCs w:val="20"/>
        </w:rPr>
      </w:pPr>
      <w:r w:rsidRPr="00581AD3">
        <w:rPr>
          <w:rFonts w:ascii="Calibri" w:hAnsi="Calibri"/>
          <w:b/>
          <w:iCs/>
          <w:sz w:val="20"/>
          <w:szCs w:val="20"/>
        </w:rPr>
        <w:t>Social Work</w:t>
      </w:r>
    </w:p>
    <w:p w:rsidRPr="00581AD3" w:rsidP="00D16426">
      <w:pPr>
        <w:spacing w:before="240" w:after="120"/>
        <w:rPr>
          <w:rFonts w:ascii="Calibri" w:hAnsi="Calibri"/>
          <w:b/>
          <w:iCs/>
          <w:sz w:val="20"/>
          <w:szCs w:val="20"/>
        </w:rPr>
      </w:pPr>
      <w:r w:rsidRPr="00581AD3">
        <w:rPr>
          <w:rFonts w:ascii="Calibri" w:hAnsi="Calibri"/>
          <w:bCs/>
          <w:iCs/>
          <w:noProof/>
          <w:sz w:val="20"/>
          <w:szCs w:val="20"/>
        </w:rPr>
        <w:t>1.00</w:t>
      </w:r>
      <w:r w:rsidRPr="00581AD3">
        <w:rPr>
          <w:rFonts w:ascii="Calibri" w:hAnsi="Calibri"/>
          <w:bCs/>
          <w:iCs/>
          <w:sz w:val="20"/>
          <w:szCs w:val="20"/>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Gary (Doug)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Bureau-Novartis Corporation Pharmaceuticals (Relationship has ended)|Membership on Advisory Committees or Review Panels, Board Membership, etc.-AlloVir (Relationship has ended) - 01/15/2024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Shayla Sullivant,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Patty Davis, LSCSW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394BCA" w:rsidRPr="00581AD3">
      <w:pPr>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