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P="00BE650A">
      <w:pPr>
        <w:spacing w:line="240" w:lineRule="auto"/>
        <w:jc w:val="center"/>
        <w:rPr>
          <w:rFonts w:ascii="Arial" w:hAnsi="Arial" w:cs="Arial"/>
          <w:b/>
          <w:bCs/>
          <w:sz w:val="36"/>
          <w:szCs w:val="36"/>
        </w:rPr>
      </w:pPr>
      <w:r w:rsidRPr="003729D7">
        <w:rPr>
          <w:rFonts w:ascii="Arial" w:hAnsi="Arial" w:cs="Arial"/>
        </w:rPr>
        <w:br/>
      </w:r>
      <w:r w:rsidR="00693C14">
        <w:rPr>
          <w:rFonts w:ascii="Arial" w:hAnsi="Arial" w:cs="Arial"/>
          <w:b/>
          <w:bCs/>
          <w:noProof/>
          <w:sz w:val="36"/>
          <w:szCs w:val="36"/>
        </w:rPr>
        <w:t>2024 Grand</w:t>
      </w:r>
      <w:r w:rsidR="00693C14">
        <w:rPr>
          <w:rFonts w:ascii="Arial" w:hAnsi="Arial" w:cs="Arial"/>
          <w:b/>
          <w:bCs/>
          <w:sz w:val="36"/>
          <w:szCs w:val="36"/>
        </w:rPr>
        <w:t xml:space="preserve"> Rounds - Adolescent and Young Adult (AYA) Oncology: The Impact of Cancer on Life and the Impact of Life on Cancer - Mattioli Endowed Lecture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2/15</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2/15</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B946B1" w:rsidR="00833030">
              <w:rPr>
                <w:rFonts w:asciiTheme="majorHAnsi" w:hAnsiTheme="majorHAnsi" w:cstheme="majorHAnsi"/>
                <w:b/>
                <w:noProof/>
              </w:rPr>
              <w:t xml:space="preserve"> </w:t>
            </w:r>
            <w:r w:rsidRPr="006F089E">
              <w:rPr>
                <w:rFonts w:asciiTheme="majorHAnsi" w:hAnsiTheme="majorHAnsi" w:cstheme="majorHAnsi"/>
                <w:b/>
                <w:noProof/>
                <w:color w:val="8064A2" w:themeColor="accent4"/>
              </w:rPr>
              <w:t>6615</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Bradley Zebrack, PhD, MPH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Professor, University of Michigan School of Social Work and member of the University of Michigan Rogel Cancer Center, Division of Cancer Control and Population Sciences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University of Michigan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"https://cmkc.tv/3HlmneA"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pPr>
              <w:bidi w:val="0"/>
              <w:spacing w:after="280" w:afterAutospacing="1"/>
              <w:rPr>
                <w:rtl w:val="0"/>
              </w:rPr>
            </w:pPr>
            <w:r>
              <w:rPr>
                <w:rtl w:val="0"/>
              </w:rPr>
              <w:t>This lecture is the annual Mattioli Endowed Lecture</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Understand</w:t>
      </w:r>
      <w:r w:rsidRPr="00B946B1">
        <w:rPr>
          <w:rFonts w:asciiTheme="majorHAnsi" w:hAnsiTheme="majorHAnsi" w:cstheme="majorHAnsi"/>
        </w:rPr>
        <w:t xml:space="preserve"> the unique needs and characteristics of the AYA population</w:t>
      </w:r>
    </w:p>
    <w:p w:rsidRPr="00B946B1" w:rsidP="006A623D">
      <w:pPr>
        <w:spacing w:line="240" w:lineRule="auto"/>
        <w:rPr>
          <w:rFonts w:asciiTheme="majorHAnsi" w:hAnsiTheme="majorHAnsi" w:cstheme="majorHAnsi"/>
        </w:rPr>
      </w:pPr>
      <w:r w:rsidRPr="00B946B1">
        <w:rPr>
          <w:rFonts w:asciiTheme="majorHAnsi" w:hAnsiTheme="majorHAnsi" w:cstheme="majorHAnsi"/>
        </w:rPr>
        <w:t>2 Examine disparities in outcomes and care experiences for the AYA population</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 xml:space="preserve">3 Identify opportunities and challenges for AYA clinical care and research </w:t>
      </w:r>
    </w:p>
    <w:p w:rsidR="00877969" w:rsidRPr="00B946B1" w:rsidP="00394BCA">
      <w:pPr>
        <w:spacing w:before="240" w:after="120"/>
        <w:rPr>
          <w:rFonts w:asciiTheme="majorHAnsi" w:hAnsiTheme="majorHAnsi" w:cstheme="majorHAnsi"/>
          <w:b/>
          <w:iCs/>
        </w:rPr>
      </w:pPr>
      <w:r w:rsidRPr="00904F01">
        <w:rPr>
          <w:rFonts w:asciiTheme="majorHAnsi" w:hAnsiTheme="majorHAnsi" w:cstheme="majorHAnsi"/>
          <w:b/>
          <w:iCs/>
          <w:color w:val="000000" w:themeColor="text1"/>
          <w:sz w:val="24"/>
          <w:szCs w:val="24"/>
          <w:u w:val="single"/>
        </w:rPr>
        <w:t>ACCREDITATION:</w:t>
      </w:r>
      <w:r w:rsidRPr="00904F01">
        <w:rPr>
          <w:rFonts w:asciiTheme="majorHAnsi" w:hAnsiTheme="majorHAnsi" w:cstheme="majorHAnsi"/>
          <w:b/>
          <w:iCs/>
          <w:color w:val="000000" w:themeColor="text1"/>
          <w:sz w:val="24"/>
          <w:szCs w:val="24"/>
        </w:rPr>
        <w:t xml:space="preserve"> </w:t>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 xml:space="preserve">&gt; 0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D16426" w:rsidRPr="00B946B1" w:rsidP="00394BCA">
      <w:pPr>
        <w:spacing w:before="240" w:after="120"/>
        <w:rPr>
          <w:rFonts w:asciiTheme="majorHAnsi" w:hAnsiTheme="majorHAnsi" w:cstheme="majorHAnsi"/>
          <w:b/>
          <w:iCs/>
        </w:rPr>
      </w:pPr>
      <w:r w:rsidRPr="00B946B1">
        <w:rPr>
          <w:rFonts w:asciiTheme="majorHAnsi" w:hAnsiTheme="majorHAnsi" w:cstheme="majorHAnsi"/>
          <w:bCs/>
          <w:iCs/>
        </w:rPr>
        <w:instrText xml:space="preserve">Children's Mercy Hospital designates this </w:instrText>
      </w:r>
      <w:r w:rsidRPr="00B946B1">
        <w:rPr>
          <w:rFonts w:asciiTheme="majorHAnsi" w:hAnsiTheme="majorHAnsi" w:cstheme="majorHAnsi"/>
          <w:bCs/>
          <w:iCs/>
          <w:noProof/>
        </w:rPr>
        <w:instrText>Live Activity</w:instrText>
      </w:r>
      <w:r w:rsidRPr="00B946B1">
        <w:rPr>
          <w:rFonts w:asciiTheme="majorHAnsi" w:hAnsiTheme="majorHAnsi" w:cstheme="majorHAnsi"/>
          <w:bCs/>
          <w:iCs/>
        </w:rPr>
        <w:instrText xml:space="preserve"> for a maxiumum of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w:instrText>
      </w:r>
      <w:r w:rsidRPr="00B946B1">
        <w:rPr>
          <w:rFonts w:asciiTheme="majorHAnsi" w:hAnsiTheme="majorHAnsi" w:cstheme="majorHAnsi"/>
          <w:bCs/>
          <w:i/>
        </w:rPr>
        <w:instrText>AMA PRA Category 1 Credit(s)™</w:instrText>
      </w:r>
      <w:r w:rsidRPr="00B946B1">
        <w:rPr>
          <w:rFonts w:asciiTheme="majorHAnsi" w:hAnsiTheme="majorHAnsi" w:cstheme="majorHAnsi"/>
          <w:bCs/>
          <w:i/>
        </w:rPr>
        <w:instrText xml:space="preserve">. </w:instrText>
      </w:r>
      <w:r w:rsidRPr="00B946B1">
        <w:rPr>
          <w:rFonts w:asciiTheme="majorHAnsi" w:hAnsiTheme="majorHAnsi" w:cstheme="majorHAnsi"/>
          <w:bCs/>
          <w:iCs/>
        </w:rPr>
        <w:instrText>Physicians should claim only the credit commensurate with the extent of their participation in the activity." ""</w:instrText>
      </w:r>
      <w:r w:rsidRPr="00B946B1">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sidRPr="00B946B1">
        <w:rPr>
          <w:rFonts w:asciiTheme="majorHAnsi" w:hAnsiTheme="majorHAnsi" w:cstheme="majorHAnsi"/>
          <w:bCs/>
          <w:iCs/>
        </w:rPr>
        <w:t>Children's Mercy Hospital is accredited by the Missouri State Medical Association to provide continuing medical education for physicians.</w:t>
      </w:r>
    </w:p>
    <w:p w:rsidRPr="00B946B1" w:rsidP="00394BCA">
      <w:pPr>
        <w:spacing w:before="240" w:after="120"/>
        <w:rPr>
          <w:rFonts w:asciiTheme="majorHAnsi" w:hAnsiTheme="majorHAnsi" w:cstheme="majorHAnsi"/>
          <w:b/>
          <w:iCs/>
        </w:rPr>
      </w:pP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Pr="00B946B1" w:rsidR="00567FB0">
        <w:rPr>
          <w:rFonts w:asciiTheme="majorHAnsi" w:hAnsiTheme="majorHAnsi" w:cstheme="majorHAnsi"/>
          <w:b/>
          <w:iCs/>
        </w:rPr>
        <w:t xml:space="preserve">  </w:t>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502920" cy="502920"/>
            <wp:effectExtent l="0" t="0" r="0" b="0"/>
            <wp:wrapTight wrapText="bothSides">
              <wp:wrapPolygon>
                <wp:start x="0" y="0"/>
                <wp:lineTo x="0" y="20455"/>
                <wp:lineTo x="20455" y="20455"/>
                <wp:lineTo x="20455" y="0"/>
                <wp:lineTo x="0" y="0"/>
              </wp:wrapPolygon>
            </wp:wrapTight>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spacing w:before="240" w:after="120"/>
        <w:rPr>
          <w:rFonts w:asciiTheme="majorHAnsi" w:hAnsiTheme="majorHAnsi" w:cstheme="majorHAnsi"/>
          <w:b/>
          <w:i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567FB0">
        <w:rPr>
          <w:rFonts w:asciiTheme="majorHAnsi" w:hAnsiTheme="majorHAnsi" w:cstheme="majorHAnsi"/>
          <w:b/>
          <w:iCs/>
        </w:rPr>
        <w:t xml:space="preserve">  </w:t>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567FB0">
        <w:rPr>
          <w:rFonts w:asciiTheme="majorHAnsi" w:hAnsiTheme="majorHAnsi" w:cstheme="majorHAnsi"/>
          <w:b/>
          <w:iCs/>
        </w:rPr>
        <w:t xml:space="preserve">  </w:t>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Dietician</w: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program has been approved for Dietician Continuing Education credit by the KDHE, Kansas Sponsorship #D1273, for </w:t>
      </w:r>
      <w:r w:rsidRPr="00B946B1">
        <w:rPr>
          <w:rFonts w:asciiTheme="majorHAnsi" w:hAnsiTheme="majorHAnsi" w:cstheme="majorHAnsi"/>
          <w:bCs/>
          <w:iCs/>
          <w:noProof/>
        </w:rPr>
        <w:t>1.00</w:t>
      </w:r>
      <w:r w:rsidRPr="00B946B1">
        <w:rPr>
          <w:rFonts w:asciiTheme="majorHAnsi" w:hAnsiTheme="majorHAnsi" w:cstheme="majorHAnsi"/>
          <w:bCs/>
          <w:iCs/>
        </w:rPr>
        <w:t xml:space="preserve"> clock hour(s).</w:t>
      </w:r>
      <w:r w:rsidRPr="00B946B1">
        <w:rPr>
          <w:rFonts w:asciiTheme="majorHAnsi" w:hAnsiTheme="majorHAnsi" w:cstheme="majorHAnsi"/>
          <w:b/>
          <w:iCs/>
        </w:rPr>
        <w:fldChar w:fldCharType="end"/>
      </w:r>
      <w:r w:rsidRPr="00B946B1" w:rsidR="00567FB0">
        <w:rPr>
          <w:rFonts w:asciiTheme="majorHAnsi" w:hAnsiTheme="majorHAnsi" w:cstheme="majorHAnsi"/>
          <w:b/>
          <w:iCs/>
        </w:rPr>
        <w:t xml:space="preserve">  </w:t>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sidR="00F0102D">
        <w:rPr>
          <w:rFonts w:asciiTheme="majorHAnsi" w:hAnsiTheme="majorHAnsi" w:cstheme="majorHAnsi"/>
          <w:b/>
          <w:iCs/>
        </w:rPr>
        <w:t xml:space="preserve">  </w:t>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567FB0">
        <w:rPr>
          <w:rFonts w:asciiTheme="majorHAnsi" w:hAnsiTheme="majorHAnsi" w:cstheme="majorHAnsi"/>
          <w:b/>
          <w:iCs/>
        </w:rPr>
        <w:t xml:space="preserve">  </w:t>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77969" w:rsidP="0095107F">
      <w:pPr>
        <w:spacing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F9341D">
        <w:rPr>
          <w:rFonts w:asciiTheme="majorHAnsi" w:hAnsiTheme="majorHAnsi" w:cstheme="majorHAnsi"/>
          <w:b/>
          <w:iCs/>
        </w:rPr>
        <w:t>{</w:t>
      </w:r>
      <w:r w:rsidR="00D41589">
        <w:rPr>
          <w:rFonts w:asciiTheme="majorHAnsi" w:hAnsiTheme="majorHAnsi" w:cstheme="majorHAnsi"/>
          <w:b/>
          <w:iCs/>
        </w:rPr>
        <w:t xml:space="preserve"> </w:t>
      </w:r>
      <w:r w:rsidRPr="00B946B1" w:rsidR="00F9341D">
        <w:rPr>
          <w:rFonts w:asciiTheme="majorHAnsi" w:hAnsiTheme="majorHAnsi" w:cstheme="majorHAnsi"/>
          <w:b/>
          <w:iCs/>
        </w:rPr>
        <w:t xml:space="preserve">IF </w:t>
      </w:r>
      <w:r w:rsidRPr="00B946B1" w:rsidR="00F9341D">
        <w:rPr>
          <w:rFonts w:asciiTheme="majorHAnsi" w:hAnsiTheme="majorHAnsi" w:cstheme="majorHAnsi"/>
          <w:b/>
          <w:iCs/>
          <w:noProof/>
        </w:rPr>
        <w:t>1.00</w:t>
      </w:r>
      <w:r w:rsidRPr="00B946B1" w:rsidR="00F9341D">
        <w:rPr>
          <w:rFonts w:asciiTheme="majorHAnsi" w:hAnsiTheme="majorHAnsi" w:cstheme="majorHAnsi"/>
          <w:b/>
          <w:iCs/>
        </w:rPr>
        <w:t>&gt; 0 "</w:t>
      </w:r>
    </w:p>
    <w:p w:rsidR="0095107F" w:rsidP="0095107F">
      <w:pPr>
        <w:spacing w:before="240" w:after="0"/>
        <w:rPr>
          <w:rFonts w:asciiTheme="majorHAnsi" w:hAnsiTheme="majorHAnsi" w:cstheme="majorHAnsi"/>
          <w:b/>
          <w:iCs/>
        </w:rPr>
      </w:pPr>
      <w:r>
        <w:rPr>
          <w:rFonts w:asciiTheme="majorHAnsi" w:hAnsiTheme="majorHAnsi" w:cstheme="majorHAnsi"/>
          <w:b/>
          <w:iCs/>
        </w:rPr>
        <w:t>Respiratory Therapy</w:t>
      </w:r>
    </w:p>
    <w:p w:rsidR="0095107F" w:rsidRPr="0095107F" w:rsidP="0095107F">
      <w:pPr>
        <w:shd w:val="clear" w:color="auto" w:fill="FFFFFF"/>
        <w:spacing w:after="0" w:line="240" w:lineRule="auto"/>
        <w:textAlignment w:val="baseline"/>
        <w:rPr>
          <w:rFonts w:eastAsia="Times New Roman" w:asciiTheme="majorHAnsi" w:hAnsiTheme="majorHAnsi" w:cstheme="majorHAnsi"/>
          <w:color w:val="242424"/>
          <w:sz w:val="24"/>
          <w:szCs w:val="24"/>
        </w:rPr>
      </w:pPr>
      <w:r w:rsidRPr="0095107F">
        <w:rPr>
          <w:rFonts w:eastAsia="Times New Roman" w:asciiTheme="majorHAnsi" w:hAnsiTheme="majorHAnsi" w:cstheme="majorHAnsi"/>
          <w:color w:val="000000"/>
          <w:bdr w:val="nil"/>
          <w:shd w:val="clear" w:color="auto" w:fill="FFFFFF"/>
        </w:rPr>
        <w:t>The Children’s Mercy Hospital, CEU Evaluator has approved this program for</w:t>
      </w:r>
      <w:r>
        <w:rPr>
          <w:rFonts w:eastAsia="Times New Roman" w:asciiTheme="majorHAnsi" w:hAnsiTheme="majorHAnsi" w:cstheme="majorHAnsi"/>
          <w:color w:val="000000"/>
          <w:bdr w:val="nil"/>
          <w:shd w:val="clear" w:color="auto" w:fill="FFFFFF"/>
        </w:rPr>
        <w:t xml:space="preserve"> </w:t>
      </w:r>
      <w:r w:rsidRPr="00B946B1">
        <w:rPr>
          <w:rFonts w:asciiTheme="majorHAnsi" w:hAnsiTheme="majorHAnsi" w:cstheme="majorHAnsi"/>
          <w:bCs/>
          <w:iCs/>
          <w:noProof/>
        </w:rPr>
        <w:t>1.00</w:t>
      </w:r>
      <w:r w:rsidRPr="0095107F">
        <w:rPr>
          <w:rFonts w:eastAsia="Times New Roman" w:asciiTheme="majorHAnsi" w:hAnsiTheme="majorHAnsi" w:cstheme="majorHAnsi"/>
          <w:color w:val="000000"/>
          <w:bdr w:val="nil"/>
          <w:shd w:val="clear" w:color="auto" w:fill="FFFFFF"/>
        </w:rPr>
        <w:t xml:space="preserve"> Live Respiratory Care CEU’s, on behalf of the Kansas Respiratory Care Society, a chapter society of the AARC. </w:t>
      </w:r>
      <w:r w:rsidRPr="0095107F">
        <w:rPr>
          <w:rFonts w:eastAsia="Times New Roman" w:asciiTheme="majorHAnsi" w:hAnsiTheme="majorHAnsi" w:cstheme="majorHAnsi"/>
          <w:color w:val="000000"/>
          <w:bdr w:val="nil"/>
          <w:shd w:val="clear" w:color="auto" w:fill="FFFFFF"/>
        </w:rPr>
        <w:t>Providership</w:t>
      </w:r>
      <w:r w:rsidRPr="0095107F">
        <w:rPr>
          <w:rFonts w:eastAsia="Times New Roman" w:asciiTheme="majorHAnsi" w:hAnsiTheme="majorHAnsi" w:cstheme="majorHAnsi"/>
          <w:color w:val="000000"/>
          <w:bdr w:val="nil"/>
          <w:shd w:val="clear" w:color="auto" w:fill="FFFFFF"/>
        </w:rPr>
        <w:t xml:space="preserve"> # KRCS 003.</w:t>
      </w:r>
      <w:r w:rsidRPr="00B946B1">
        <w:rPr>
          <w:rFonts w:asciiTheme="majorHAnsi" w:hAnsiTheme="majorHAnsi" w:cstheme="majorHAnsi"/>
          <w:bCs/>
          <w:iCs/>
        </w:rPr>
        <w:t>" ""}</w:t>
      </w:r>
      <w:r>
        <w:rPr>
          <w:rFonts w:asciiTheme="majorHAnsi" w:hAnsiTheme="majorHAnsi" w:cstheme="majorHAnsi"/>
          <w:bCs/>
          <w:iCs/>
        </w:rPr>
        <w:t xml:space="preserve">  </w:t>
      </w:r>
      <w:r w:rsidRPr="00B946B1">
        <w:rPr>
          <w:rFonts w:asciiTheme="majorHAnsi" w:hAnsiTheme="majorHAnsi" w:cstheme="majorHAnsi"/>
          <w:b/>
          <w:iCs/>
        </w:rPr>
        <w:t>{</w:t>
      </w:r>
      <w:r>
        <w:rPr>
          <w:rFonts w:asciiTheme="majorHAnsi" w:hAnsiTheme="majorHAnsi" w:cstheme="majorHAnsi"/>
          <w:b/>
          <w:iCs/>
        </w:rPr>
        <w:t xml:space="preserve"> </w:t>
      </w:r>
      <w:r w:rsidRPr="00B946B1">
        <w:rPr>
          <w:rFonts w:asciiTheme="majorHAnsi" w:hAnsiTheme="majorHAnsi" w:cstheme="majorHAnsi"/>
          <w:b/>
          <w:iCs/>
        </w:rPr>
        <w:t xml:space="preserve">IF </w:t>
      </w:r>
      <w:r w:rsidRPr="00B946B1">
        <w:rPr>
          <w:rFonts w:asciiTheme="majorHAnsi" w:hAnsiTheme="majorHAnsi" w:cstheme="majorHAnsi"/>
          <w:b/>
          <w:iCs/>
          <w:noProof/>
        </w:rPr>
        <w:t>1.00</w:t>
      </w:r>
      <w:r w:rsidRPr="00B946B1">
        <w:rPr>
          <w:rFonts w:asciiTheme="majorHAnsi" w:hAnsiTheme="majorHAnsi" w:cstheme="majorHAnsi"/>
          <w:b/>
          <w:iCs/>
        </w:rPr>
        <w:t>&gt; 0 "</w:t>
      </w:r>
    </w:p>
    <w:p w:rsidR="0095107F" w:rsidP="00202CB4">
      <w:pPr>
        <w:spacing w:after="0"/>
        <w:rPr>
          <w:rFonts w:asciiTheme="majorHAnsi" w:hAnsiTheme="majorHAnsi" w:cstheme="majorHAnsi"/>
          <w:b/>
          <w:bCs/>
        </w:rPr>
      </w:pPr>
    </w:p>
    <w:p w:rsidR="004559AF" w:rsidRPr="00202CB4" w:rsidP="00202CB4">
      <w:pPr>
        <w:spacing w:after="0"/>
        <w:rPr>
          <w:rFonts w:asciiTheme="majorHAnsi" w:hAnsiTheme="majorHAnsi" w:cstheme="majorHAnsi"/>
        </w:rPr>
      </w:pPr>
      <w:r w:rsidRPr="00202CB4">
        <w:rPr>
          <w:rFonts w:asciiTheme="majorHAnsi" w:hAnsiTheme="majorHAnsi" w:cstheme="majorHAnsi"/>
          <w:b/>
          <w:bCs/>
        </w:rPr>
        <w:t>American Board of Surger</w:t>
      </w:r>
      <w:r w:rsidR="0095107F">
        <w:rPr>
          <w:rFonts w:asciiTheme="majorHAnsi" w:hAnsiTheme="majorHAnsi" w:cstheme="majorHAnsi"/>
          <w:b/>
          <w:bCs/>
        </w:rPr>
        <w:t>y</w:t>
      </w:r>
    </w:p>
    <w:p w:rsidR="008E130A" w:rsidRPr="00B946B1" w:rsidP="0095107F">
      <w:pPr>
        <w:spacing w:after="120"/>
        <w:rPr>
          <w:rFonts w:asciiTheme="majorHAnsi" w:hAnsiTheme="majorHAnsi" w:cstheme="majorHAnsi"/>
          <w:color w:val="212529"/>
          <w:shd w:val="clear" w:color="auto" w:fill="FFFFFF"/>
        </w:rPr>
      </w:pP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sidRPr="00B946B1">
        <w:rPr>
          <w:rFonts w:asciiTheme="majorHAnsi" w:hAnsiTheme="majorHAnsi" w:cstheme="majorHAnsi"/>
          <w:bCs/>
          <w:iCs/>
        </w:rPr>
        <w:t>" ""</w:t>
      </w:r>
      <w:r w:rsidRPr="00B946B1" w:rsidR="002F20E7">
        <w:rPr>
          <w:rFonts w:asciiTheme="majorHAnsi" w:hAnsiTheme="majorHAnsi" w:cstheme="majorHAnsi"/>
          <w:bCs/>
          <w:iCs/>
        </w:rPr>
        <w:t xml:space="preserve">}  </w:t>
      </w:r>
      <w:r w:rsidRPr="00B946B1" w:rsidR="002F20E7">
        <w:rPr>
          <w:rFonts w:asciiTheme="majorHAnsi" w:hAnsiTheme="majorHAnsi" w:cstheme="majorHAnsi"/>
          <w:b/>
          <w:iCs/>
        </w:rPr>
        <w:t>{</w:t>
      </w:r>
      <w:r w:rsidR="00904F01">
        <w:rPr>
          <w:rFonts w:asciiTheme="majorHAnsi" w:hAnsiTheme="majorHAnsi" w:cstheme="majorHAnsi"/>
          <w:b/>
          <w:iCs/>
        </w:rPr>
        <w:t xml:space="preserve"> </w:t>
      </w:r>
      <w:r w:rsidRPr="00B946B1" w:rsidR="002F20E7">
        <w:rPr>
          <w:rFonts w:asciiTheme="majorHAnsi" w:hAnsiTheme="majorHAnsi" w:cstheme="majorHAnsi"/>
          <w:b/>
          <w:iCs/>
        </w:rPr>
        <w:t xml:space="preserve">IF </w:t>
      </w:r>
      <w:r w:rsidRPr="00B946B1" w:rsidR="002F20E7">
        <w:rPr>
          <w:rFonts w:asciiTheme="majorHAnsi" w:hAnsiTheme="majorHAnsi" w:cstheme="majorHAnsi"/>
          <w:b/>
          <w:iCs/>
          <w:noProof/>
        </w:rPr>
        <w:t>1.00</w:t>
      </w:r>
      <w:r w:rsidRPr="00B946B1" w:rsidR="002F20E7">
        <w:rPr>
          <w:rFonts w:asciiTheme="majorHAnsi" w:hAnsiTheme="majorHAnsi" w:cstheme="majorHAnsi"/>
          <w:b/>
          <w:iCs/>
        </w:rPr>
        <w:t>&gt; 0 "</w:t>
      </w:r>
    </w:p>
    <w:p w:rsidR="00D8370C" w:rsidRPr="00202CB4" w:rsidP="00202CB4">
      <w:pPr>
        <w:spacing w:after="0"/>
        <w:rPr>
          <w:rFonts w:asciiTheme="majorHAnsi" w:hAnsiTheme="majorHAnsi" w:cstheme="majorHAnsi"/>
        </w:rPr>
      </w:pPr>
      <w:r w:rsidRPr="00202CB4">
        <w:rPr>
          <w:rFonts w:asciiTheme="majorHAnsi" w:hAnsiTheme="majorHAnsi" w:cstheme="majorHAnsi"/>
          <w:b/>
          <w:bCs/>
        </w:rPr>
        <w:t>American Board of Thoracic Surgery</w:t>
      </w:r>
    </w:p>
    <w:p w:rsidR="00D8370C" w:rsidRPr="00B946B1" w:rsidP="00D8370C">
      <w:pPr>
        <w:rPr>
          <w:rFonts w:asciiTheme="majorHAnsi" w:hAnsiTheme="majorHAnsi" w:cstheme="majorHAnsi"/>
        </w:rPr>
      </w:pP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w:t>
      </w:r>
      <w:r w:rsidRPr="00B946B1">
        <w:rPr>
          <w:rFonts w:asciiTheme="majorHAnsi" w:hAnsiTheme="majorHAnsi" w:cstheme="majorHAnsi"/>
          <w:bCs/>
          <w:iCs/>
        </w:rPr>
        <w:t xml:space="preserve">" ""}  </w:t>
      </w:r>
      <w:r w:rsidRPr="00B946B1">
        <w:rPr>
          <w:rFonts w:asciiTheme="majorHAnsi" w:hAnsiTheme="majorHAnsi" w:cstheme="majorHAnsi"/>
          <w:b/>
          <w:iCs/>
        </w:rPr>
        <w:t>{</w:t>
      </w:r>
      <w:r w:rsidR="00904F01">
        <w:rPr>
          <w:rFonts w:asciiTheme="majorHAnsi" w:hAnsiTheme="majorHAnsi" w:cstheme="majorHAnsi"/>
          <w:b/>
          <w:iCs/>
        </w:rPr>
        <w:t xml:space="preserve"> </w:t>
      </w:r>
      <w:r w:rsidRPr="00B946B1">
        <w:rPr>
          <w:rFonts w:asciiTheme="majorHAnsi" w:hAnsiTheme="majorHAnsi" w:cstheme="majorHAnsi"/>
          <w:b/>
          <w:iCs/>
        </w:rPr>
        <w:t xml:space="preserve">IF </w:t>
      </w:r>
      <w:r w:rsidRPr="00B946B1">
        <w:rPr>
          <w:rFonts w:asciiTheme="majorHAnsi" w:hAnsiTheme="majorHAnsi" w:cstheme="majorHAnsi"/>
          <w:b/>
          <w:iCs/>
          <w:noProof/>
        </w:rPr>
        <w:t>1.00</w:t>
      </w:r>
      <w:r w:rsidRPr="00B946B1">
        <w:rPr>
          <w:rFonts w:asciiTheme="majorHAnsi" w:hAnsiTheme="majorHAnsi" w:cstheme="majorHAnsi"/>
          <w:b/>
          <w:iCs/>
        </w:rPr>
        <w:t>&gt; 0 "</w:t>
      </w:r>
      <w:r w:rsidRPr="00B946B1">
        <w:rPr>
          <w:rFonts w:asciiTheme="majorHAnsi" w:hAnsiTheme="majorHAnsi" w:cstheme="majorHAnsi"/>
          <w:color w:val="212529"/>
          <w:shd w:val="clear" w:color="auto" w:fill="FFFFFF"/>
        </w:rPr>
        <w:t xml:space="preserve"> </w:t>
      </w:r>
    </w:p>
    <w:p w:rsidR="008B794D" w:rsidRPr="00202CB4" w:rsidP="00942F07">
      <w:pPr>
        <w:spacing w:after="0"/>
        <w:rPr>
          <w:rFonts w:asciiTheme="majorHAnsi" w:hAnsiTheme="majorHAnsi" w:cstheme="majorHAnsi"/>
        </w:rPr>
      </w:pPr>
      <w:r w:rsidRPr="00202CB4">
        <w:rPr>
          <w:rFonts w:asciiTheme="majorHAnsi" w:hAnsiTheme="majorHAnsi" w:cstheme="majorHAnsi"/>
          <w:b/>
          <w:bCs/>
        </w:rPr>
        <w:t>American Board of Anesthesiology</w:t>
      </w:r>
    </w:p>
    <w:p w:rsidR="008B794D" w:rsidRPr="00B946B1" w:rsidP="00202CB4">
      <w:pPr>
        <w:spacing w:after="0"/>
        <w:rPr>
          <w:rFonts w:asciiTheme="majorHAnsi" w:hAnsiTheme="majorHAnsi" w:cstheme="majorHAnsi"/>
          <w:color w:val="212529"/>
          <w:shd w:val="clear" w:color="auto" w:fill="FFFFFF"/>
        </w:rPr>
      </w:pPr>
      <w:r w:rsidRPr="00B946B1">
        <w:rPr>
          <w:rFonts w:asciiTheme="majorHAnsi" w:hAnsiTheme="majorHAnsi" w:cstheme="majorHAnsi"/>
          <w:i/>
          <w:iCs/>
          <w:color w:val="212529"/>
          <w:shd w:val="clear" w:color="auto" w:fill="FFFFFF"/>
        </w:rPr>
        <w:t>AMA/PRA Category 1 Credit</w:t>
      </w:r>
      <w:r w:rsidRPr="00B946B1">
        <w:rPr>
          <w:rFonts w:asciiTheme="majorHAnsi" w:hAnsiTheme="majorHAnsi" w:cstheme="majorHAnsi"/>
          <w:color w:val="212529"/>
          <w:shd w:val="clear" w:color="auto" w:fill="FFFFFF"/>
        </w:rPr>
        <w:t>™ Only:</w:t>
      </w:r>
    </w:p>
    <w:p w:rsidR="008B794D" w:rsidRPr="00B946B1" w:rsidP="008B794D">
      <w:pPr>
        <w:rPr>
          <w:rFonts w:asciiTheme="majorHAnsi" w:hAnsiTheme="majorHAnsi" w:cstheme="majorHAnsi"/>
          <w:color w:val="212529"/>
          <w:shd w:val="clear" w:color="auto" w:fill="FFFFFF"/>
        </w:rPr>
      </w:pPr>
      <w:r w:rsidRPr="00B946B1">
        <w:rPr>
          <w:rFonts w:asciiTheme="majorHAnsi" w:hAnsiTheme="majorHAnsi" w:cstheme="majorHAnsi"/>
          <w:color w:val="212529"/>
          <w:shd w:val="clear" w:color="auto" w:fill="FFFFFF"/>
        </w:rPr>
        <w:t xml:space="preserve">This activity contributes to the CME component of the American Board of Anesthesiology’s redesigned Maintenance of Certification in Anesthesiology™ (MOCA®) program, known as MOCA 2.0®. Please consult the ABA website, </w:t>
      </w:r>
      <w:r>
        <w:fldChar w:fldCharType="begin"/>
      </w:r>
      <w:r>
        <w:instrText xml:space="preserve"> HYPERLINK "http://www.theABA.org" </w:instrText>
      </w:r>
      <w:r>
        <w:fldChar w:fldCharType="separate"/>
      </w:r>
      <w:r w:rsidRPr="00B946B1">
        <w:rPr>
          <w:rStyle w:val="Hyperlink"/>
          <w:rFonts w:asciiTheme="majorHAnsi" w:hAnsiTheme="majorHAnsi" w:cstheme="majorHAnsi"/>
          <w:shd w:val="clear" w:color="auto" w:fill="FFFFFF"/>
        </w:rPr>
        <w:t>www.theABA.org</w:t>
      </w:r>
      <w:r>
        <w:fldChar w:fldCharType="end"/>
      </w:r>
      <w:r w:rsidRPr="00B946B1">
        <w:rPr>
          <w:rFonts w:asciiTheme="majorHAnsi" w:hAnsiTheme="majorHAnsi" w:cstheme="majorHAnsi"/>
          <w:color w:val="212529"/>
          <w:shd w:val="clear" w:color="auto" w:fill="FFFFFF"/>
        </w:rPr>
        <w:t>, for a list of all MOCA 2.0 requirements.</w:t>
      </w:r>
    </w:p>
    <w:p w:rsidR="008B794D" w:rsidRPr="00B946B1" w:rsidP="00202CB4">
      <w:pPr>
        <w:spacing w:after="0"/>
        <w:rPr>
          <w:rFonts w:asciiTheme="majorHAnsi" w:hAnsiTheme="majorHAnsi" w:cstheme="majorHAnsi"/>
          <w:color w:val="212529"/>
          <w:shd w:val="clear" w:color="auto" w:fill="FFFFFF"/>
        </w:rPr>
      </w:pPr>
      <w:r w:rsidRPr="00B946B1">
        <w:rPr>
          <w:rFonts w:asciiTheme="majorHAnsi" w:hAnsiTheme="majorHAnsi" w:cstheme="majorHAnsi"/>
          <w:i/>
          <w:iCs/>
          <w:color w:val="212529"/>
          <w:shd w:val="clear" w:color="auto" w:fill="FFFFFF"/>
        </w:rPr>
        <w:t>AMA/PRA Category 1 Credit</w:t>
      </w:r>
      <w:r w:rsidRPr="00B946B1">
        <w:rPr>
          <w:rFonts w:asciiTheme="majorHAnsi" w:hAnsiTheme="majorHAnsi" w:cstheme="majorHAnsi"/>
          <w:color w:val="212529"/>
          <w:shd w:val="clear" w:color="auto" w:fill="FFFFFF"/>
        </w:rPr>
        <w:t>™ with patient safety content:</w:t>
      </w:r>
    </w:p>
    <w:p w:rsidR="008B794D" w:rsidRPr="00B946B1" w:rsidP="008B794D">
      <w:pPr>
        <w:rPr>
          <w:rFonts w:asciiTheme="majorHAnsi" w:hAnsiTheme="majorHAnsi" w:cstheme="majorHAnsi"/>
        </w:rPr>
      </w:pPr>
      <w:r w:rsidRPr="00B946B1">
        <w:rPr>
          <w:rFonts w:asciiTheme="majorHAnsi" w:hAnsiTheme="majorHAnsi" w:cstheme="majorHAnsi"/>
          <w:color w:val="212529"/>
          <w:shd w:val="clear" w:color="auto" w:fill="FFFFFF"/>
        </w:rPr>
        <w:t xml:space="preserve">This activity offers up to </w:t>
      </w:r>
      <w:r w:rsidRPr="00B946B1" w:rsidR="000D20B7">
        <w:rPr>
          <w:rFonts w:asciiTheme="majorHAnsi" w:hAnsiTheme="majorHAnsi" w:cstheme="majorHAnsi"/>
          <w:bCs/>
          <w:iCs/>
          <w:noProof/>
        </w:rPr>
        <w:t>1.00</w:t>
      </w:r>
      <w:r w:rsidRPr="00B946B1">
        <w:rPr>
          <w:rFonts w:asciiTheme="majorHAnsi" w:hAnsiTheme="majorHAnsi" w:cstheme="majorHAnsi"/>
          <w:color w:val="212529"/>
          <w:shd w:val="clear" w:color="auto" w:fill="FFFFFF"/>
        </w:rPr>
        <w:t xml:space="preserve"> credits, of which </w:t>
      </w:r>
      <w:r w:rsidRPr="0095107F">
        <w:rPr>
          <w:rFonts w:asciiTheme="majorHAnsi" w:hAnsiTheme="majorHAnsi" w:cstheme="majorHAnsi"/>
          <w:color w:val="212529"/>
          <w:highlight w:val="yellow"/>
          <w:shd w:val="clear" w:color="auto" w:fill="FFFFFF"/>
        </w:rPr>
        <w:t>xx</w:t>
      </w:r>
      <w:r w:rsidRPr="00B946B1">
        <w:rPr>
          <w:rFonts w:asciiTheme="majorHAnsi" w:hAnsiTheme="majorHAnsi" w:cstheme="majorHAnsi"/>
          <w:color w:val="212529"/>
          <w:shd w:val="clear" w:color="auto" w:fill="FFFFFF"/>
        </w:rPr>
        <w:t xml:space="preserve"> </w:t>
      </w:r>
      <w:r w:rsidRPr="0095107F">
        <w:rPr>
          <w:rFonts w:asciiTheme="majorHAnsi" w:hAnsiTheme="majorHAnsi" w:cstheme="majorHAnsi"/>
          <w:color w:val="212529"/>
          <w:highlight w:val="yellow"/>
          <w:shd w:val="clear" w:color="auto" w:fill="FFFFFF"/>
        </w:rPr>
        <w:t>credits</w:t>
      </w:r>
      <w:r w:rsidRPr="00B946B1">
        <w:rPr>
          <w:rFonts w:asciiTheme="majorHAnsi" w:hAnsiTheme="majorHAnsi" w:cstheme="majorHAnsi"/>
          <w:color w:val="212529"/>
          <w:shd w:val="clear" w:color="auto" w:fill="FFFFFF"/>
        </w:rPr>
        <w:t xml:space="preserve"> contribute to the patient safety CME component of the American Board of Anesthesiology's redesigned Maintenance of Certification in Anesthesiology™ (MOCA®) program, known as MOCA 2.0®. Please consult the ABA website, </w:t>
      </w:r>
      <w:r>
        <w:fldChar w:fldCharType="begin"/>
      </w:r>
      <w:r>
        <w:instrText xml:space="preserve"> HYPERLINK "http://www.theaba.org/" </w:instrText>
      </w:r>
      <w:r>
        <w:fldChar w:fldCharType="separate"/>
      </w:r>
      <w:r w:rsidRPr="00B946B1">
        <w:rPr>
          <w:rStyle w:val="Hyperlink"/>
          <w:rFonts w:asciiTheme="majorHAnsi" w:hAnsiTheme="majorHAnsi" w:cstheme="majorHAnsi"/>
          <w:color w:val="0C5B76"/>
          <w:shd w:val="clear" w:color="auto" w:fill="FFFFFF"/>
        </w:rPr>
        <w:t>www.theABA.org</w:t>
      </w:r>
      <w:r>
        <w:fldChar w:fldCharType="end"/>
      </w:r>
      <w:r w:rsidRPr="00B946B1">
        <w:rPr>
          <w:rFonts w:asciiTheme="majorHAnsi" w:hAnsiTheme="majorHAnsi" w:cstheme="majorHAnsi"/>
          <w:color w:val="212529"/>
          <w:shd w:val="clear" w:color="auto" w:fill="FFFFFF"/>
        </w:rPr>
        <w:t>, for a list of all MOCA 2.0 requirements.</w:t>
      </w:r>
      <w:r w:rsidRPr="00B946B1">
        <w:rPr>
          <w:rFonts w:asciiTheme="majorHAnsi" w:hAnsiTheme="majorHAnsi" w:cstheme="majorHAnsi"/>
          <w:bCs/>
          <w:iCs/>
        </w:rPr>
        <w:t xml:space="preserve">" ""}  </w:t>
      </w:r>
      <w:r w:rsidRPr="00B946B1">
        <w:rPr>
          <w:rFonts w:asciiTheme="majorHAnsi" w:hAnsiTheme="majorHAnsi" w:cstheme="majorHAnsi"/>
          <w:b/>
          <w:iCs/>
        </w:rPr>
        <w:t>{</w:t>
      </w:r>
      <w:r w:rsidR="00904F01">
        <w:rPr>
          <w:rFonts w:asciiTheme="majorHAnsi" w:hAnsiTheme="majorHAnsi" w:cstheme="majorHAnsi"/>
          <w:b/>
          <w:iCs/>
        </w:rPr>
        <w:t xml:space="preserve"> </w:t>
      </w:r>
      <w:r w:rsidRPr="00B946B1">
        <w:rPr>
          <w:rFonts w:asciiTheme="majorHAnsi" w:hAnsiTheme="majorHAnsi" w:cstheme="majorHAnsi"/>
          <w:b/>
          <w:iCs/>
        </w:rPr>
        <w:t xml:space="preserve">IF </w:t>
      </w:r>
      <w:r w:rsidRPr="00B946B1">
        <w:rPr>
          <w:rFonts w:asciiTheme="majorHAnsi" w:hAnsiTheme="majorHAnsi" w:cstheme="majorHAnsi"/>
          <w:b/>
          <w:iCs/>
          <w:noProof/>
        </w:rPr>
        <w:t>1.00</w:t>
      </w:r>
      <w:r w:rsidRPr="00B946B1">
        <w:rPr>
          <w:rFonts w:asciiTheme="majorHAnsi" w:hAnsiTheme="majorHAnsi" w:cstheme="majorHAnsi"/>
          <w:b/>
          <w:iCs/>
        </w:rPr>
        <w:t>&gt; 0 "</w:t>
      </w:r>
    </w:p>
    <w:p w:rsidR="0003478A" w:rsidRPr="00202CB4" w:rsidP="00942F07">
      <w:pPr>
        <w:spacing w:after="0"/>
        <w:rPr>
          <w:rFonts w:asciiTheme="majorHAnsi" w:hAnsiTheme="majorHAnsi" w:cstheme="majorHAnsi"/>
        </w:rPr>
      </w:pPr>
      <w:r w:rsidRPr="00202CB4">
        <w:rPr>
          <w:rFonts w:asciiTheme="majorHAnsi" w:hAnsiTheme="majorHAnsi" w:cstheme="majorHAnsi"/>
          <w:b/>
          <w:bCs/>
        </w:rPr>
        <w:t>American Board of Pathology</w:t>
      </w:r>
    </w:p>
    <w:p w:rsidR="0003478A" w:rsidRPr="00B946B1" w:rsidP="0003478A">
      <w:pPr>
        <w:rPr>
          <w:rFonts w:asciiTheme="majorHAnsi" w:hAnsiTheme="majorHAnsi" w:cstheme="majorHAnsi"/>
          <w:b/>
          <w:iCs/>
        </w:rPr>
      </w:pPr>
      <w:r w:rsidRPr="00B946B1">
        <w:rPr>
          <w:rFonts w:asciiTheme="majorHAnsi" w:hAnsiTheme="majorHAnsi" w:cstheme="majorHAnsi"/>
          <w:color w:val="212529"/>
          <w:shd w:val="clear" w:color="auto" w:fill="FFFFFF"/>
        </w:rPr>
        <w:t>Successful completion of this CME activity, which includes participation in the evaluation component, enables the participant to earn up to XX Lifelong Learning credit in the American Board of Pathology (</w:t>
      </w:r>
      <w:r w:rsidRPr="00B946B1">
        <w:rPr>
          <w:rFonts w:asciiTheme="majorHAnsi" w:hAnsiTheme="majorHAnsi" w:cstheme="majorHAnsi"/>
          <w:color w:val="212529"/>
          <w:shd w:val="clear" w:color="auto" w:fill="FFFFFF"/>
        </w:rPr>
        <w:t>ABPath</w:t>
      </w:r>
      <w:r w:rsidRPr="00B946B1">
        <w:rPr>
          <w:rFonts w:asciiTheme="majorHAnsi" w:hAnsiTheme="majorHAnsi" w:cstheme="majorHAnsi"/>
          <w:color w:val="212529"/>
          <w:shd w:val="clear" w:color="auto" w:fill="FFFFFF"/>
        </w:rPr>
        <w:t>) Continuous Certification program. It is the CME provider’s responsibility to submit learner completion information to ACCME for the purpose of granting credit.</w:t>
      </w:r>
      <w:r w:rsidRPr="00B946B1">
        <w:rPr>
          <w:rFonts w:asciiTheme="majorHAnsi" w:hAnsiTheme="majorHAnsi" w:cstheme="majorHAnsi"/>
          <w:bCs/>
          <w:iCs/>
        </w:rPr>
        <w:t xml:space="preserve">" ""}  </w:t>
      </w:r>
      <w:r w:rsidRPr="00B946B1">
        <w:rPr>
          <w:rFonts w:asciiTheme="majorHAnsi" w:hAnsiTheme="majorHAnsi" w:cstheme="majorHAnsi"/>
          <w:b/>
          <w:iCs/>
        </w:rPr>
        <w:t>{</w:t>
      </w:r>
      <w:r w:rsidR="00904F01">
        <w:rPr>
          <w:rFonts w:asciiTheme="majorHAnsi" w:hAnsiTheme="majorHAnsi" w:cstheme="majorHAnsi"/>
          <w:b/>
          <w:iCs/>
        </w:rPr>
        <w:t xml:space="preserve"> </w:t>
      </w:r>
      <w:r w:rsidRPr="00B946B1">
        <w:rPr>
          <w:rFonts w:asciiTheme="majorHAnsi" w:hAnsiTheme="majorHAnsi" w:cstheme="majorHAnsi"/>
          <w:b/>
          <w:iCs/>
        </w:rPr>
        <w:t xml:space="preserve">IF </w:t>
      </w:r>
      <w:r w:rsidRPr="00B946B1">
        <w:rPr>
          <w:rFonts w:asciiTheme="majorHAnsi" w:hAnsiTheme="majorHAnsi" w:cstheme="majorHAnsi"/>
          <w:b/>
          <w:iCs/>
          <w:noProof/>
        </w:rPr>
        <w:t>1.00</w:t>
      </w:r>
      <w:r w:rsidRPr="00B946B1">
        <w:rPr>
          <w:rFonts w:asciiTheme="majorHAnsi" w:hAnsiTheme="majorHAnsi" w:cstheme="majorHAnsi"/>
          <w:b/>
          <w:iCs/>
        </w:rPr>
        <w:t>&gt; 0 "</w:t>
      </w:r>
    </w:p>
    <w:p w:rsidR="00DD317A" w:rsidRPr="00202CB4" w:rsidP="00942F07">
      <w:pPr>
        <w:spacing w:after="0"/>
        <w:rPr>
          <w:rFonts w:asciiTheme="majorHAnsi" w:hAnsiTheme="majorHAnsi" w:cstheme="majorHAnsi"/>
          <w:b/>
          <w:bCs/>
        </w:rPr>
      </w:pPr>
      <w:r w:rsidRPr="00202CB4">
        <w:rPr>
          <w:rFonts w:asciiTheme="majorHAnsi" w:hAnsiTheme="majorHAnsi" w:cstheme="majorHAnsi"/>
          <w:b/>
          <w:bCs/>
        </w:rPr>
        <w:t xml:space="preserve">American Board of </w:t>
      </w:r>
      <w:r w:rsidRPr="00202CB4">
        <w:rPr>
          <w:rFonts w:asciiTheme="majorHAnsi" w:hAnsiTheme="majorHAnsi" w:cstheme="majorHAnsi"/>
          <w:b/>
          <w:bCs/>
        </w:rPr>
        <w:t>Orthopaedic</w:t>
      </w:r>
      <w:r w:rsidRPr="00202CB4">
        <w:rPr>
          <w:rFonts w:asciiTheme="majorHAnsi" w:hAnsiTheme="majorHAnsi" w:cstheme="majorHAnsi"/>
          <w:b/>
          <w:bCs/>
        </w:rPr>
        <w:t xml:space="preserve"> Surgery</w:t>
      </w:r>
    </w:p>
    <w:p w:rsidR="00DD317A" w:rsidRPr="00B946B1" w:rsidP="00DD317A">
      <w:pPr>
        <w:rPr>
          <w:rFonts w:asciiTheme="majorHAnsi" w:hAnsiTheme="majorHAnsi" w:cstheme="majorHAnsi"/>
          <w:b/>
          <w:iCs/>
        </w:rPr>
      </w:pPr>
      <w:r w:rsidRPr="00B946B1">
        <w:rPr>
          <w:rFonts w:asciiTheme="majorHAnsi" w:hAnsiTheme="majorHAnsi" w:cstheme="majorHAnsi"/>
          <w:color w:val="212529"/>
          <w:shd w:val="clear" w:color="auto" w:fill="FFFFFF"/>
        </w:rPr>
        <w:t xml:space="preserve">Successful completion of this CME activity, which includes participation in the evaluation component, enables the learner to earn credit toward the CME requirement of the American Board of </w:t>
      </w:r>
      <w:r w:rsidRPr="00B946B1">
        <w:rPr>
          <w:rFonts w:asciiTheme="majorHAnsi" w:hAnsiTheme="majorHAnsi" w:cstheme="majorHAnsi"/>
          <w:color w:val="212529"/>
          <w:shd w:val="clear" w:color="auto" w:fill="FFFFFF"/>
        </w:rPr>
        <w:t>Orthopaedic</w:t>
      </w:r>
      <w:r w:rsidRPr="00B946B1">
        <w:rPr>
          <w:rFonts w:asciiTheme="majorHAnsi" w:hAnsiTheme="majorHAnsi" w:cstheme="majorHAnsi"/>
          <w:color w:val="212529"/>
          <w:shd w:val="clear" w:color="auto" w:fill="FFFFFF"/>
        </w:rPr>
        <w:t xml:space="preserve"> Surgery's Maintenance of Certification program. It is the CME activity provider's responsibility to submit learner completion information to ACCME for the purpose of granting ABOS credit.</w:t>
      </w:r>
      <w:r w:rsidRPr="00B946B1">
        <w:rPr>
          <w:rFonts w:asciiTheme="majorHAnsi" w:hAnsiTheme="majorHAnsi" w:cstheme="majorHAnsi"/>
          <w:bCs/>
          <w:iCs/>
        </w:rPr>
        <w:t>"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Bradley Zebrack,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- 01/22/2024</w:t>
            </w:r>
          </w:p>
        </w:tc>
      </w:tr>
    </w:tbl>
    <w:p w:rsidR="00993B4D" w:rsidRPr="00B946B1">
      <w:pPr>
        <w:bidi w:val="0"/>
        <w:spacing w:after="280" w:afterAutospacing="1"/>
        <w:rPr>
          <w:rFonts w:asciiTheme="majorHAnsi" w:hAnsiTheme="majorHAnsi" w:cstheme="majorHAnsi"/>
          <w:iCs/>
        </w:rPr>
      </w:pPr>
    </w:p>
    <w:sectPr w:rsidSect="004359FA">
      <w:headerReference w:type="default" r:id="rId10"/>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2024-02-08T23:00:00Z</dcterms:created>
  <dcterms:modified xsi:type="dcterms:W3CDTF">2024-02-08T23:00:00Z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