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2024 Grand</w:t>
      </w:r>
      <w:r w:rsidRPr="00BB1D75" w:rsidR="00693C14">
        <w:rPr>
          <w:rFonts w:ascii="Arial" w:hAnsi="Arial" w:cs="Arial"/>
          <w:b/>
          <w:bCs/>
          <w:color w:val="005EB8"/>
          <w:sz w:val="36"/>
          <w:szCs w:val="36"/>
        </w:rPr>
        <w:t xml:space="preserve"> Rounds - A Transplant Journey: From Patient to Physician and Beyond</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4/18</w:t>
            </w:r>
            <w:r w:rsidRPr="00B946B1">
              <w:rPr>
                <w:rFonts w:asciiTheme="majorHAnsi" w:hAnsiTheme="majorHAnsi" w:cstheme="majorHAnsi"/>
                <w:bCs/>
                <w:noProof/>
              </w:rPr>
              <w:t>/2024 8:00:00 AM</w:t>
            </w:r>
            <w:r w:rsidRPr="00B946B1">
              <w:rPr>
                <w:rFonts w:asciiTheme="majorHAnsi" w:hAnsiTheme="majorHAnsi" w:cstheme="majorHAnsi"/>
                <w:bCs/>
                <w:noProof/>
              </w:rPr>
              <w:t xml:space="preserve"> - </w:t>
            </w:r>
            <w:r w:rsidRPr="00B946B1">
              <w:rPr>
                <w:rFonts w:asciiTheme="majorHAnsi" w:hAnsiTheme="majorHAnsi" w:cstheme="majorHAnsi"/>
                <w:bCs/>
                <w:noProof/>
              </w:rPr>
              <w:t>4/18</w:t>
            </w:r>
            <w:r w:rsidRPr="00B946B1">
              <w:rPr>
                <w:rFonts w:asciiTheme="majorHAnsi" w:hAnsiTheme="majorHAnsi" w:cstheme="majorHAnsi"/>
                <w:bCs/>
                <w:noProof/>
              </w:rPr>
              <w:t>/2024 9:00:00 AM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BB1D75">
              <w:rPr>
                <w:rFonts w:asciiTheme="majorHAnsi" w:hAnsiTheme="majorHAnsi" w:cstheme="majorHAnsi"/>
                <w:b/>
                <w:noProof/>
                <w:color w:val="009F4D"/>
              </w:rPr>
              <w:t>6624</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r w:rsidRPr="00B946B1">
              <w:rPr>
                <w:rFonts w:asciiTheme="majorHAnsi" w:hAnsiTheme="majorHAnsi" w:cstheme="majorHAnsi"/>
                <w:bCs/>
                <w:noProof/>
              </w:rPr>
              <w:t>Adele Hall</w:t>
            </w:r>
            <w:r w:rsidRPr="00B946B1">
              <w:rPr>
                <w:rFonts w:asciiTheme="majorHAnsi" w:hAnsiTheme="majorHAnsi" w:cstheme="majorHAnsi"/>
                <w:bCs/>
                <w:noProof/>
              </w:rPr>
              <w:t xml:space="preserve"> - Auditorium (West Lobby)</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Julie Bonn,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Attending Physician, Division of Gastroenterology, Hepatology &amp; Nutrition, and Assistant Professor Division of Peds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Cincinnati Children’s Hospital Medical Center</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p>
          <w:p>
            <w:pPr>
              <w:bidi w:val="0"/>
              <w:spacing w:after="280" w:afterAutospacing="1"/>
              <w:rPr>
                <w:rtl w:val="0"/>
              </w:rPr>
            </w:pPr>
            <w:r>
              <w:rPr>
                <w:rtl w:val="0"/>
              </w:rPr>
              <w:fldChar w:fldCharType="begin"/>
            </w:r>
            <w:r>
              <w:rPr>
                <w:rtl w:val="0"/>
              </w:rPr>
              <w:instrText xml:space="preserve"> HYPERLINK "https://cmkc.tv/4bVSmQp" </w:instrText>
            </w:r>
            <w:r>
              <w:rPr>
                <w:rtl w:val="0"/>
              </w:rPr>
              <w:fldChar w:fldCharType="separate"/>
            </w:r>
            <w:r>
              <w:rPr>
                <w:color w:val="0000FF"/>
                <w:u w:val="single"/>
                <w:rtl w:val="0"/>
              </w:rPr>
              <w:t>Click here to join the presentation from your laptop or computer.</w:t>
            </w:r>
            <w:r>
              <w:rPr>
                <w:rtl w:val="0"/>
              </w:rPr>
              <w:fldChar w:fldCharType="end"/>
            </w:r>
            <w:r>
              <w:rPr>
                <w:rtl w:val="0"/>
              </w:rPr>
              <w:t xml:space="preserve"> </w:t>
            </w:r>
          </w:p>
          <w:p>
            <w:pPr>
              <w:bidi w:val="0"/>
              <w:spacing w:after="280" w:afterAutospacing="1"/>
              <w:rPr>
                <w:rtl w:val="0"/>
              </w:rPr>
            </w:pPr>
            <w:r>
              <w:rPr>
                <w:rtl w:val="0"/>
              </w:rPr>
              <w:t>Local and national leaders present pediatric topics in their area of specialty during this weekly series. </w:t>
            </w:r>
          </w:p>
          <w:p w:rsidR="00E27446" w:rsidRPr="00B946B1">
            <w:pPr>
              <w:bidi w:val="0"/>
              <w:spacing w:after="280" w:afterAutospacing="1"/>
              <w:rPr>
                <w:rFonts w:asciiTheme="majorHAnsi" w:hAnsiTheme="majorHAnsi" w:cstheme="majorHAnsi"/>
                <w:bCs/>
                <w:noProof/>
              </w:rPr>
            </w:pP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r w:rsidRPr="00B946B1">
        <w:rPr>
          <w:rFonts w:asciiTheme="majorHAnsi" w:hAnsiTheme="majorHAnsi" w:cstheme="majorHAnsi"/>
          <w:noProof/>
        </w:rPr>
        <w:t>1 Explain</w:t>
      </w:r>
      <w:r w:rsidRPr="00B946B1">
        <w:rPr>
          <w:rFonts w:asciiTheme="majorHAnsi" w:hAnsiTheme="majorHAnsi" w:cstheme="majorHAnsi"/>
        </w:rPr>
        <w:t xml:space="preserve"> strategies to optimize medication adherence post-transplant.</w:t>
      </w:r>
    </w:p>
    <w:p w:rsidRPr="00B946B1" w:rsidP="006A623D">
      <w:pPr>
        <w:spacing w:line="240" w:lineRule="auto"/>
        <w:rPr>
          <w:rFonts w:asciiTheme="majorHAnsi" w:hAnsiTheme="majorHAnsi" w:cstheme="majorHAnsi"/>
        </w:rPr>
      </w:pPr>
      <w:r w:rsidRPr="00B946B1">
        <w:rPr>
          <w:rFonts w:asciiTheme="majorHAnsi" w:hAnsiTheme="majorHAnsi" w:cstheme="majorHAnsi"/>
        </w:rPr>
        <w:t>1 Discuss quality of life and importance of mental health in pediatric transplant recipients.</w:t>
      </w:r>
    </w:p>
    <w:p w:rsidRPr="00B946B1" w:rsidP="006A623D">
      <w:pPr>
        <w:spacing w:line="240" w:lineRule="auto"/>
        <w:rPr>
          <w:rFonts w:asciiTheme="majorHAnsi" w:hAnsiTheme="majorHAnsi" w:cstheme="majorHAnsi"/>
        </w:rPr>
      </w:pPr>
      <w:r w:rsidRPr="00B946B1">
        <w:rPr>
          <w:rFonts w:asciiTheme="majorHAnsi" w:hAnsiTheme="majorHAnsi" w:cstheme="majorHAnsi"/>
        </w:rPr>
        <w:t>1 Describe how to incorporate primary care providers for transplant recipients.</w:t>
      </w:r>
    </w:p>
    <w:p w:rsidR="0026437A" w:rsidRPr="00B946B1" w:rsidP="006A623D">
      <w:pPr>
        <w:spacing w:line="240" w:lineRule="auto"/>
        <w:rPr>
          <w:rFonts w:asciiTheme="majorHAnsi" w:hAnsiTheme="majorHAnsi" w:cstheme="majorHAnsi"/>
        </w:rPr>
      </w:pPr>
      <w:r w:rsidRPr="00B946B1">
        <w:rPr>
          <w:rFonts w:asciiTheme="majorHAnsi" w:hAnsiTheme="majorHAnsi" w:cstheme="majorHAnsi"/>
        </w:rPr>
        <w:t>4 Employ best practices for transitioning to adult health care in solid organ transplantation.</w:t>
      </w: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 xml:space="preserve">This activty has been planned and implemented in accordance with the accreditation requirements and policies of the Missouri State Medical Association through the joint providership of The Children's Mercy Hospital and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Pr="009F213A">
        <w:rPr>
          <w:rFonts w:asciiTheme="majorHAnsi" w:hAnsiTheme="majorHAnsi" w:cstheme="majorHAnsi"/>
          <w:bCs/>
          <w:iCs/>
          <w:color w:val="000000" w:themeColor="text1"/>
        </w:rPr>
        <w:instrText>. The Children's Mercy Hospital is accredited by the Missouri State Medical Association 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Children's Mercy Hospital is accredited by the Missouri State Medical Association 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noProof/>
        </w:rPr>
        <w:instrText>Live Activity</w:instrText>
      </w:r>
      <w:r w:rsidRPr="00B946B1" w:rsidR="00877969">
        <w:rPr>
          <w:rFonts w:asciiTheme="majorHAnsi" w:hAnsiTheme="majorHAnsi" w:cstheme="majorHAnsi"/>
          <w:bCs/>
          <w:iCs/>
        </w:rPr>
        <w:instrText xml:space="preserve"> for a maxiumum of </w:instrText>
      </w:r>
      <w:r w:rsidRPr="00B946B1" w:rsidR="00877969">
        <w:rPr>
          <w:rFonts w:asciiTheme="majorHAnsi" w:hAnsiTheme="majorHAnsi" w:cstheme="majorHAnsi"/>
          <w:bCs/>
          <w:iCs/>
          <w:noProof/>
        </w:rPr>
        <w:instrText>1.00</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Children's Mercy Hospital is accredited by the Missouri State Medical Association 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Live Activity</w:t>
      </w:r>
      <w:r w:rsidRPr="00B946B1">
        <w:rPr>
          <w:rFonts w:asciiTheme="majorHAnsi" w:hAnsiTheme="majorHAnsi" w:cstheme="majorHAnsi"/>
          <w:bCs/>
          <w:iCs/>
        </w:rPr>
        <w:t xml:space="preserve"> for a maxiumum of </w:t>
      </w:r>
      <w:r w:rsidRPr="00B946B1">
        <w:rPr>
          <w:rFonts w:asciiTheme="majorHAnsi" w:hAnsiTheme="majorHAnsi" w:cstheme="majorHAnsi"/>
          <w:bCs/>
          <w:iCs/>
          <w:noProof/>
        </w:rPr>
        <w:t>1.00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0.00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This activity contributes to the CME component of the American Board of Anesthesiology's redesigned Maintenance of Certification in Anesth</w:instrText>
      </w:r>
      <w:r w:rsidR="0063720F">
        <w:rPr>
          <w:rFonts w:asciiTheme="majorHAnsi" w:hAnsiTheme="majorHAnsi" w:cstheme="majorHAnsi"/>
          <w:bCs/>
          <w:iCs/>
        </w:rPr>
        <w:instrText>e</w:instrText>
      </w:r>
      <w:r>
        <w:rPr>
          <w:rFonts w:asciiTheme="majorHAnsi" w:hAnsiTheme="majorHAnsi" w:cstheme="majorHAnsi"/>
          <w:bCs/>
          <w:iCs/>
        </w:rPr>
        <w:instrText xml:space="preserve">siology™ (MOCA®) program, known as MOCA 2.0® Please consult the ABA website, www.theABA.org, for a list of all MOCA 2.0 requirements." "" </w:instrText>
      </w:r>
      <w:r>
        <w:rPr>
          <w:rFonts w:asciiTheme="majorHAnsi" w:hAnsiTheme="majorHAnsi" w:cstheme="majorHAnsi"/>
          <w:b/>
          <w:iCs/>
        </w:rPr>
        <w:fldChar w:fldCharType="separate"/>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rPr>
        <w:fldChar w:fldCharType="begin"/>
      </w:r>
      <w:r w:rsidR="00833E38">
        <w:rPr>
          <w:rFonts w:asciiTheme="majorHAnsi" w:hAnsiTheme="majorHAnsi" w:cstheme="majorHAnsi"/>
          <w:bCs/>
          <w:iCs/>
        </w:rPr>
        <w:instrText xml:space="preserve"> MERGEFIELD  AMAHoursMax  \* MERGEFORMAT </w:instrText>
      </w:r>
      <w:r w:rsidR="00833E38">
        <w:rPr>
          <w:rFonts w:asciiTheme="majorHAnsi" w:hAnsiTheme="majorHAnsi" w:cstheme="majorHAnsi"/>
          <w:bCs/>
          <w:iCs/>
        </w:rPr>
        <w:fldChar w:fldCharType="separate"/>
      </w:r>
      <w:r w:rsidR="00833E38">
        <w:rPr>
          <w:rFonts w:asciiTheme="majorHAnsi" w:hAnsiTheme="majorHAnsi" w:cstheme="majorHAnsi"/>
          <w:bCs/>
          <w:iCs/>
          <w:noProof/>
        </w:rPr>
        <w:instrText>«AMAHoursMax»</w:instrText>
      </w:r>
      <w:r w:rsidR="00833E38">
        <w:rPr>
          <w:rFonts w:asciiTheme="majorHAnsi" w:hAnsiTheme="majorHAnsi" w:cstheme="majorHAnsi"/>
          <w:bCs/>
          <w:iCs/>
        </w:rPr>
        <w:fldChar w:fldCharType="end"/>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color w:val="212529"/>
          <w:shd w:val="clear" w:color="auto" w:fill="FFFFFF"/>
        </w:rPr>
        <w:fldChar w:fldCharType="begin"/>
      </w:r>
      <w:r w:rsidR="00833E38">
        <w:rPr>
          <w:rFonts w:asciiTheme="majorHAnsi" w:hAnsiTheme="majorHAnsi" w:cstheme="majorHAnsi"/>
          <w:color w:val="212529"/>
          <w:shd w:val="clear" w:color="auto" w:fill="FFFFFF"/>
        </w:rPr>
        <w:instrText xml:space="preserve"> MERGEFIELD  ABAMOCAPSMax  \* MERGEFORMAT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noProof/>
          <w:color w:val="212529"/>
          <w:shd w:val="clear" w:color="auto" w:fill="FFFFFF"/>
        </w:rPr>
        <w:instrText>«ABAMOCAPSMax»</w:instrText>
      </w:r>
      <w:r w:rsidR="00833E38">
        <w:rPr>
          <w:rFonts w:asciiTheme="majorHAnsi" w:hAnsiTheme="majorHAnsi" w:cstheme="majorHAnsi"/>
          <w:color w:val="212529"/>
          <w:shd w:val="clear" w:color="auto" w:fill="FFFFFF"/>
        </w:rPr>
        <w:fldChar w:fldCharType="end"/>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color w:val="212529"/>
          <w:shd w:val="clear" w:color="auto" w:fill="FFFFFF"/>
        </w:rPr>
        <w:fldChar w:fldCharType="begin"/>
      </w:r>
      <w:r w:rsidR="005C4D3F">
        <w:rPr>
          <w:rFonts w:asciiTheme="majorHAnsi" w:hAnsiTheme="majorHAnsi" w:cstheme="majorHAnsi"/>
          <w:color w:val="212529"/>
          <w:shd w:val="clear" w:color="auto" w:fill="FFFFFF"/>
        </w:rPr>
        <w:instrText xml:space="preserve"> MERGEFIELD  ABPathMax  \* MERGEFORMAT </w:instrText>
      </w:r>
      <w:r w:rsidR="005C4D3F">
        <w:rPr>
          <w:rFonts w:asciiTheme="majorHAnsi" w:hAnsiTheme="majorHAnsi" w:cstheme="majorHAnsi"/>
          <w:color w:val="212529"/>
          <w:shd w:val="clear" w:color="auto" w:fill="FFFFFF"/>
        </w:rPr>
        <w:fldChar w:fldCharType="separate"/>
      </w:r>
      <w:r w:rsidR="005C4D3F">
        <w:rPr>
          <w:rFonts w:asciiTheme="majorHAnsi" w:hAnsiTheme="majorHAnsi" w:cstheme="majorHAnsi"/>
          <w:noProof/>
          <w:color w:val="212529"/>
          <w:shd w:val="clear" w:color="auto" w:fill="FFFFFF"/>
        </w:rPr>
        <w:instrText>«ABPathMax»</w:instrText>
      </w:r>
      <w:r w:rsidR="005C4D3F">
        <w:rPr>
          <w:rFonts w:asciiTheme="majorHAnsi" w:hAnsiTheme="majorHAnsi" w:cstheme="majorHAnsi"/>
          <w:color w:val="212529"/>
          <w:shd w:val="clear" w:color="auto" w:fill="FFFFFF"/>
        </w:rPr>
        <w:fldChar w:fldCharType="end"/>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8D0C52">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fldChar w:fldCharType="begin"/>
      </w:r>
      <w:r w:rsidRPr="00B946B1" w:rsidR="00D67F81">
        <w:rPr>
          <w:rFonts w:asciiTheme="majorHAnsi" w:hAnsiTheme="majorHAnsi" w:cstheme="majorHAnsi"/>
          <w:noProof/>
        </w:rPr>
        <w:instrText xml:space="preserve"> MERGEFIELD  ABPMOC2Max  \* MERGEFORMAT </w:instrText>
      </w:r>
      <w:r w:rsidRPr="00B946B1" w:rsidR="00D67F81">
        <w:rPr>
          <w:rFonts w:asciiTheme="majorHAnsi" w:hAnsiTheme="majorHAnsi" w:cstheme="majorHAnsi"/>
          <w:noProof/>
        </w:rPr>
        <w:fldChar w:fldCharType="separate"/>
      </w:r>
      <w:r w:rsidRPr="00B946B1" w:rsidR="00D67F81">
        <w:rPr>
          <w:rFonts w:asciiTheme="majorHAnsi" w:hAnsiTheme="majorHAnsi" w:cstheme="majorHAnsi"/>
          <w:noProof/>
        </w:rPr>
        <w:instrText>«ABPMOC2Max»</w:instrText>
      </w:r>
      <w:r w:rsidRPr="00B946B1" w:rsidR="00D67F81">
        <w:rPr>
          <w:rFonts w:asciiTheme="majorHAnsi" w:hAnsiTheme="majorHAnsi" w:cstheme="majorHAnsi"/>
          <w:noProof/>
        </w:rPr>
        <w:fldChar w:fldCharType="end"/>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1.00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3360"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t>American Board of Surger</w:t>
      </w:r>
      <w:r>
        <w:rPr>
          <w:rFonts w:asciiTheme="majorHAnsi" w:hAnsiTheme="majorHAnsi" w:cstheme="majorHAnsi"/>
          <w:b/>
          <w:bCs/>
        </w:rPr>
        <w:t>y</w:t>
      </w:r>
      <w:r w:rsidR="006F0D31">
        <w:rPr>
          <w:rFonts w:asciiTheme="majorHAnsi" w:hAnsiTheme="majorHAnsi" w:cstheme="majorHAnsi"/>
          <w:b/>
          <w:bCs/>
        </w:rPr>
        <w:t xml:space="preserve"> (ABS)</w:t>
      </w:r>
    </w:p>
    <w:p w:rsidR="00615379"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4384"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1126510213"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Pr>
          <w:rFonts w:asciiTheme="majorHAnsi" w:hAnsiTheme="majorHAnsi" w:cstheme="majorHAnsi"/>
          <w:color w:val="212529"/>
          <w:shd w:val="clear" w:color="auto" w:fill="FFFFFF"/>
        </w:rPr>
        <w: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t>
      </w:r>
      <w:r>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sidR="00614901">
        <w:rPr>
          <w:rFonts w:asciiTheme="majorHAnsi" w:hAnsiTheme="majorHAnsi" w:cstheme="majorHAnsi"/>
          <w:b/>
          <w:bCs/>
          <w:noProof/>
        </w:rPr>
        <w:instrText>0.00</w:instrText>
      </w:r>
      <w:r w:rsidR="00614901">
        <w:rPr>
          <w:rFonts w:asciiTheme="majorHAnsi" w:hAnsiTheme="majorHAnsi" w:cstheme="majorHAnsi"/>
          <w:b/>
          <w:bCs/>
        </w:rPr>
        <w:instrText xml:space="preserve"> </w:instrText>
      </w:r>
      <w:r w:rsidR="00614901">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5408"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0.00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0.00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rPr>
        <w:fldChar w:fldCharType="begin"/>
      </w:r>
      <w:r>
        <w:rPr>
          <w:rFonts w:asciiTheme="majorHAnsi" w:hAnsiTheme="majorHAnsi" w:cstheme="majorHAnsi"/>
          <w:bCs/>
          <w:iCs/>
        </w:rPr>
        <w:instrText xml:space="preserve"> MERGEFIELD  ANCCHoursMax  \* MERGEFORMAT </w:instrText>
      </w:r>
      <w:r>
        <w:rPr>
          <w:rFonts w:asciiTheme="majorHAnsi" w:hAnsiTheme="majorHAnsi" w:cstheme="majorHAnsi"/>
          <w:bCs/>
          <w:iCs/>
        </w:rPr>
        <w:fldChar w:fldCharType="separate"/>
      </w:r>
      <w:r>
        <w:rPr>
          <w:rFonts w:asciiTheme="majorHAnsi" w:hAnsiTheme="majorHAnsi" w:cstheme="majorHAnsi"/>
          <w:bCs/>
          <w:iCs/>
          <w:noProof/>
        </w:rPr>
        <w:instrText>«ANCCHoursMax»</w:instrText>
      </w:r>
      <w:r>
        <w:rPr>
          <w:rFonts w:asciiTheme="majorHAnsi" w:hAnsiTheme="majorHAnsi" w:cstheme="majorHAnsi"/>
          <w:bCs/>
          <w:iCs/>
        </w:rPr>
        <w:fldChar w:fldCharType="end"/>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r>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fldChar w:fldCharType="begin"/>
      </w:r>
      <w:r w:rsidRPr="00B946B1" w:rsidR="00581AD3">
        <w:rPr>
          <w:rFonts w:asciiTheme="majorHAnsi" w:hAnsiTheme="majorHAnsi" w:cstheme="majorHAnsi"/>
          <w:bCs/>
          <w:iCs/>
        </w:rPr>
        <w:instrText xml:space="preserve"> MERGEFIELD  CMHTrauma  \* MERGEFORMAT </w:instrText>
      </w:r>
      <w:r w:rsidRPr="00B946B1" w:rsidR="00581AD3">
        <w:rPr>
          <w:rFonts w:asciiTheme="majorHAnsi" w:hAnsiTheme="majorHAnsi" w:cstheme="majorHAnsi"/>
          <w:bCs/>
          <w:iCs/>
        </w:rPr>
        <w:fldChar w:fldCharType="separate"/>
      </w:r>
      <w:r w:rsidRPr="00B946B1" w:rsidR="00581AD3">
        <w:rPr>
          <w:rFonts w:asciiTheme="majorHAnsi" w:hAnsiTheme="majorHAnsi" w:cstheme="majorHAnsi"/>
          <w:bCs/>
          <w:iCs/>
          <w:noProof/>
        </w:rPr>
        <w:instrText>«CMHTrauma»</w:instrText>
      </w:r>
      <w:r w:rsidRPr="00B946B1" w:rsidR="00581AD3">
        <w:rPr>
          <w:rFonts w:asciiTheme="majorHAnsi" w:hAnsiTheme="majorHAnsi" w:cstheme="majorHAnsi"/>
          <w:bCs/>
          <w:iCs/>
        </w:rPr>
        <w:fldChar w:fldCharType="end"/>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t>Dietician</w: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t xml:space="preserve">This program has been approved for Dietician Continuing Education credit by the KDHE, Kansas Sponsorship #D1273, for </w:t>
      </w:r>
      <w:r w:rsidRPr="00B946B1">
        <w:rPr>
          <w:rFonts w:asciiTheme="majorHAnsi" w:hAnsiTheme="majorHAnsi" w:cstheme="majorHAnsi"/>
          <w:bCs/>
          <w:iCs/>
          <w:noProof/>
        </w:rPr>
        <w:t>1.00</w:t>
      </w:r>
      <w:r w:rsidRPr="00B946B1">
        <w:rPr>
          <w:rFonts w:asciiTheme="majorHAnsi" w:hAnsiTheme="majorHAnsi" w:cstheme="majorHAnsi"/>
          <w:bCs/>
          <w:iCs/>
        </w:rPr>
        <w:t xml:space="preserve"> clock hour(s).</w:t>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t>Radiology</w:t>
      </w:r>
    </w:p>
    <w:p w:rsidRPr="00B946B1" w:rsidP="0095107F">
      <w:pPr>
        <w:spacing w:after="120"/>
        <w:rPr>
          <w:rFonts w:asciiTheme="majorHAnsi" w:hAnsiTheme="majorHAnsi" w:cstheme="majorHAnsi"/>
          <w:b/>
          <w:iCs/>
        </w:rPr>
      </w:pPr>
      <w:r w:rsidRPr="00B946B1">
        <w:rPr>
          <w:rFonts w:asciiTheme="majorHAnsi" w:hAnsiTheme="majorHAnsi" w:cstheme="majorHAnsi"/>
          <w:bCs/>
          <w:iCs/>
        </w:rPr>
        <w:t xml:space="preserve">This activity has been approved by ASRT for </w:t>
      </w:r>
      <w:r w:rsidRPr="00B946B1">
        <w:rPr>
          <w:rFonts w:asciiTheme="majorHAnsi" w:hAnsiTheme="majorHAnsi" w:cstheme="majorHAnsi"/>
          <w:bCs/>
          <w:iCs/>
          <w:noProof/>
        </w:rPr>
        <w:t>1.00</w:t>
      </w:r>
      <w:r w:rsidRPr="00B946B1">
        <w:rPr>
          <w:rFonts w:asciiTheme="majorHAnsi" w:hAnsiTheme="majorHAnsi" w:cstheme="majorHAnsi"/>
          <w:bCs/>
          <w:iCs/>
        </w:rPr>
        <w:t xml:space="preserve"> Category A CE credits.</w:t>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1.20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noProof/>
        </w:rPr>
        <w:instrText>1.20</w:instrText>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t>Respiratory Therapy</w:t>
      </w:r>
    </w:p>
    <w:p w:rsidRPr="00B946B1" w:rsidP="001C7210">
      <w:pPr>
        <w:spacing w:after="120"/>
        <w:rPr>
          <w:rFonts w:asciiTheme="majorHAnsi" w:hAnsiTheme="majorHAnsi" w:cstheme="majorHAnsi"/>
          <w:b/>
          <w:iCs/>
        </w:rPr>
      </w:pPr>
      <w:r w:rsidRPr="00B946B1">
        <w:rPr>
          <w:rFonts w:asciiTheme="majorHAnsi" w:hAnsiTheme="majorHAnsi" w:cstheme="majorHAnsi"/>
          <w:bCs/>
          <w:iCs/>
        </w:rPr>
        <w:t xml:space="preserve">Children's Mercy Hospital's CE Evaluator has approved this program for </w:t>
      </w:r>
      <w:r w:rsidRPr="00B946B1">
        <w:rPr>
          <w:rFonts w:asciiTheme="majorHAnsi" w:hAnsiTheme="majorHAnsi" w:cstheme="majorHAnsi"/>
          <w:bCs/>
          <w:iCs/>
          <w:noProof/>
        </w:rPr>
        <w:t>1.20</w:t>
      </w:r>
      <w:r w:rsidRPr="00B946B1">
        <w:rPr>
          <w:rFonts w:asciiTheme="majorHAnsi" w:hAnsiTheme="majorHAnsi" w:cstheme="majorHAnsi"/>
          <w:bCs/>
          <w:iCs/>
        </w:rPr>
        <w:t xml:space="preserve"> hours of Respiratory Continuing Education on behalf of the Kansas Respiratory Care Society, a chapter of the AARC. Providership #KRCS003</w:t>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t>Social Work</w:t>
      </w:r>
    </w:p>
    <w:p w:rsidRPr="00B946B1" w:rsidP="008B1A6E">
      <w:pPr>
        <w:spacing w:before="240" w:after="120"/>
        <w:rPr>
          <w:rFonts w:asciiTheme="majorHAnsi" w:hAnsiTheme="majorHAnsi" w:cstheme="majorHAnsi"/>
          <w:b/>
          <w:iCs/>
        </w:rPr>
      </w:pPr>
      <w:r w:rsidRPr="00B946B1">
        <w:rPr>
          <w:rFonts w:asciiTheme="majorHAnsi" w:hAnsiTheme="majorHAnsi" w:cstheme="majorHAnsi"/>
          <w:bCs/>
          <w:iCs/>
          <w:noProof/>
        </w:rPr>
        <w:t>1.00</w:t>
      </w:r>
      <w:r w:rsidRPr="00B946B1">
        <w:rPr>
          <w:rFonts w:asciiTheme="majorHAnsi" w:hAnsiTheme="majorHAnsi" w:cstheme="majorHAnsi"/>
          <w:bCs/>
          <w:iCs/>
        </w:rPr>
        <w:t xml:space="preserve"> Social Work CEU's will be provided to licensed social workers. Children's Mercy Hospital's Department of Social Work and Community Service has been approved as a Continuing Education Provider by the State of Kansas Behavioral Sciences Regulatory Board.</w:t>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sidR="008B1A6E">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r w:rsidRPr="00B946B1">
        <w:rPr>
          <w:rFonts w:asciiTheme="majorHAnsi" w:hAnsiTheme="majorHAnsi" w:cstheme="majorHAnsi"/>
        </w:rPr>
        <w:t>Children's Mercy Continuing Medical Education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L Hill,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Julia R Broussard,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 Cocjin, MD, Physician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B Hathaway,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Fadi J Al Muhaisen,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Joy L Solano,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Rochelle Harris, PhD, ABPP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Krishna Dummula, MD,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Brenda Salley,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Rose A. Mettlen,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Leni W. Swails,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Julie Bonn,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Bureau-Ipsen Biopharmaceuticals, Inc.|Advisor-Echosens|Honoraria-Focus Medical Communications (Relationship has ended) - 04/08/2024</w:t>
            </w:r>
          </w:p>
        </w:tc>
      </w:tr>
    </w:tbl>
    <w:p w:rsidR="00993B4D" w:rsidRPr="00B946B1">
      <w:pPr>
        <w:bidi w:val="0"/>
        <w:spacing w:after="280" w:afterAutospacing="1"/>
        <w:rPr>
          <w:rFonts w:asciiTheme="majorHAnsi" w:hAnsiTheme="majorHAnsi" w:cstheme="majorHAnsi"/>
          <w:iCs/>
        </w:rPr>
      </w:pPr>
    </w:p>
    <w:sectPr w:rsidSect="004359FA">
      <w:headerReference w:type="default" r:id="rId13"/>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inline distT="0" distB="0" distL="0" distR="0">
          <wp:extent cx="2000250" cy="421970"/>
          <wp:effectExtent l="0" t="0" r="0" b="0"/>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2054810" cy="4334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customXml/itemProps2.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3.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4.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1789</Words>
  <Characters>10201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9</cp:revision>
  <dcterms:created xsi:type="dcterms:W3CDTF">2024-03-06T19:58:00Z</dcterms:created>
  <dcterms:modified xsi:type="dcterms:W3CDTF">2024-03-21T17:28:00Z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