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Bronchiolitis Research: More Critical Than You Might Think - Cheng Cho Endowed Lecture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5/30</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5/30</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6630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Steven L. Shein, MD, FCCM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Chief of Pediatric Critical Care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Rainbow Babies and Children's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"https://cmkc.tv/4ay7wdk"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changes in bronchiolitis epidemiology over the last 10 years</w:t>
      </w:r>
    </w:p>
    <w:p w:rsidRPr="00B946B1" w:rsidP="006A623D">
      <w:pPr>
        <w:spacing w:line="240" w:lineRule="auto"/>
        <w:rPr>
          <w:rFonts w:asciiTheme="majorHAnsi" w:hAnsiTheme="majorHAnsi" w:cstheme="majorHAnsi"/>
        </w:rPr>
      </w:pPr>
      <w:r w:rsidRPr="00B946B1">
        <w:rPr>
          <w:rFonts w:asciiTheme="majorHAnsi" w:hAnsiTheme="majorHAnsi" w:cstheme="majorHAnsi"/>
        </w:rPr>
        <w:t>2 Recognize the substantial rates of morbidity and mortality in children with critical bronchiolitis</w:t>
      </w:r>
    </w:p>
    <w:p w:rsidRPr="00B946B1" w:rsidP="006A623D">
      <w:pPr>
        <w:spacing w:line="240" w:lineRule="auto"/>
        <w:rPr>
          <w:rFonts w:asciiTheme="majorHAnsi" w:hAnsiTheme="majorHAnsi" w:cstheme="majorHAnsi"/>
        </w:rPr>
      </w:pPr>
      <w:r w:rsidRPr="00B946B1">
        <w:rPr>
          <w:rFonts w:asciiTheme="majorHAnsi" w:hAnsiTheme="majorHAnsi" w:cstheme="majorHAnsi"/>
        </w:rPr>
        <w:t>3 Apply current understandings of bronchiolitis treatments to your patients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Understand current and future research driving new treatment paradigms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208537337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L. Shein, MD, FCCM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Bureau-Ceribell|Honoraria-Children's Hospital of Arkansas (Relationship has ended) - 02/09/2024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4</cp:revision>
  <dcterms:created xsi:type="dcterms:W3CDTF">2024-03-06T20:44:00Z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