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Using Big and Small Data to Improve Type 1 Diabetes Care: The Rising T1DE Alliance Experience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6/20</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6/20</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6633</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Mark Clements, MD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Rick &amp; Cathy Baier Family Endowed Chair in Endocrinology; Medical Director, Pediatric Clinical Research Unit; Professor of Pediatrics, University of Missouri-Kansas City School of Medicine; Clinical Assistant Professor of Pediatrics, University of Kansas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"https://cmkc.tv/4b7sJv0"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pPr>
              <w:bidi w:val="0"/>
              <w:spacing w:after="280" w:afterAutospacing="1"/>
              <w:rPr>
                <w:rtl w:val="0"/>
              </w:rPr>
            </w:pPr>
            <w:r>
              <w:rPr>
                <w:rtl w:val="0"/>
              </w:rPr>
              <w:br/>
            </w:r>
            <w:r>
              <w:rPr>
                <w:rtl w:val="0"/>
              </w:rPr>
              <w:br/>
            </w:r>
            <w:r>
              <w:rPr>
                <w:rtl w:val="0"/>
              </w:rPr>
              <w:t>Objective(s): 1 Describe the goals of population health management, and the potential use of artificial intelligence/machine learning to improve population health management. 2 Illustrate the use of remote patient monitoring and remote behavioral interventions to improve near-term outcomes in type 1 diabetes.</w:t>
            </w:r>
            <w:r>
              <w:rPr>
                <w:rtl w:val="0"/>
              </w:rPr>
              <w:br/>
            </w:r>
            <w:r>
              <w:rPr>
                <w:rtl w:val="0"/>
              </w:rPr>
              <w:t>Location: Adele Hall - Auditorium (West Lobby)</w:t>
            </w:r>
            <w:r>
              <w:rPr>
                <w:rtl w:val="0"/>
              </w:rPr>
              <w:br/>
            </w:r>
            <w:r>
              <w:rPr>
                <w:rtl w:val="0"/>
              </w:rPr>
              <w:t>Specialties: Anesthesiology, Dental Clinic, Family Practice, Graduate Medical Education, Internal Medicine/Pediatrics, Ophthalmology, Orthopaedics, Pathology/Clinical Labs, Pediatrics, Radiology, Research, Surgery, All Specialties</w:t>
            </w:r>
            <w:r>
              <w:rPr>
                <w:rtl w:val="0"/>
              </w:rPr>
              <w:br/>
            </w:r>
            <w:r>
              <w:rPr>
                <w:rtl w:val="0"/>
              </w:rPr>
              <w:br/>
            </w:r>
            <w:r>
              <w:rPr>
                <w:rtl w:val="0"/>
              </w:rPr>
              <w:t xml:space="preserve">Faculty Disclosures: </w:t>
            </w:r>
            <w:r>
              <w:rPr>
                <w:rtl w:val="0"/>
              </w:rPr>
              <w:br/>
            </w:r>
            <w:r>
              <w:rPr>
                <w:rtl w:val="0"/>
              </w:rPr>
              <w:t>Mark Clements, MD PhD (Employment-Glooko, Inc.|Grant or research support-Abbott (Any division)|Grant or research support-Dexcom - 01/05/2024)</w:t>
            </w:r>
            <w:r>
              <w:rPr>
                <w:rtl w:val="0"/>
              </w:rPr>
              <w:br/>
            </w:r>
            <w:r>
              <w:rPr>
                <w:rtl w:val="0"/>
              </w:rPr>
              <w:fldChar w:fldCharType="begin"/>
            </w:r>
            <w:r>
              <w:rPr>
                <w:rtl w:val="0"/>
              </w:rPr>
              <w:instrText xml:space="preserve"> HYPERLINK "https://childrensmercy.cloud-cme.com/Assets/childrensmercy/activities/6633/Brochure_6633.pdf" </w:instrText>
            </w:r>
            <w:r>
              <w:rPr>
                <w:rtl w:val="0"/>
              </w:rPr>
              <w:fldChar w:fldCharType="separate"/>
            </w:r>
            <w:r>
              <w:rPr>
                <w:color w:val="0000FF"/>
                <w:u w:val="single"/>
                <w:rtl w:val="0"/>
              </w:rPr>
              <w:t>Download Handout</w:t>
            </w:r>
            <w:r>
              <w:rPr>
                <w:rtl w:val="0"/>
              </w:rPr>
              <w:fldChar w:fldCharType="end"/>
            </w:r>
            <w:r>
              <w:rPr>
                <w:rtl w:val="0"/>
              </w:rPr>
              <w:t xml:space="preserve"> </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the goals of population health management, and the potential use of artificial intelligence/machine learning to improve population health management. </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2 Illustrate the use of remote patient monitoring and remote behavioral interventions to improve near-term outcomes in type 1 diabetes.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754413496"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Clements,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Employment-Glooko, Inc.|Grant or research support-Abbott (Any division)|Grant or research support-Dexcom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4</cp:revision>
  <dcterms:created xsi:type="dcterms:W3CDTF">2024-03-06T20:44:00Z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