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Improving Recognition of Impaired Kidney Function</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8/8</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8/8</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BB1D75">
              <w:rPr>
                <w:rFonts w:asciiTheme="majorHAnsi" w:hAnsiTheme="majorHAnsi" w:cstheme="majorHAnsi"/>
                <w:b/>
                <w:noProof/>
                <w:color w:val="009F4D"/>
              </w:rPr>
              <w:t>6640</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Darcy K Weidemann, MD, MHS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Associate Program Director, Pediatric Nephrology Fellowship, CMKC; Associate Professor of Pediatrics, University of Missouri-Kansas City School of Medicine; Education Assistant Professor of Pediatrics, University of Kansas School of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"https://cmkc.tv/3WnFrkl"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Recognize</w:t>
      </w:r>
      <w:r w:rsidRPr="00B946B1">
        <w:rPr>
          <w:rFonts w:asciiTheme="majorHAnsi" w:hAnsiTheme="majorHAnsi" w:cstheme="majorHAnsi"/>
        </w:rPr>
        <w:t xml:space="preserve"> key risk factors for the development of kidney disease in children.</w:t>
      </w:r>
    </w:p>
    <w:p w:rsidRPr="00B946B1" w:rsidP="006A623D">
      <w:pPr>
        <w:spacing w:line="240" w:lineRule="auto"/>
        <w:rPr>
          <w:rFonts w:asciiTheme="majorHAnsi" w:hAnsiTheme="majorHAnsi" w:cstheme="majorHAnsi"/>
        </w:rPr>
      </w:pPr>
      <w:r w:rsidRPr="00B946B1">
        <w:rPr>
          <w:rFonts w:asciiTheme="majorHAnsi" w:hAnsiTheme="majorHAnsi" w:cstheme="majorHAnsi"/>
        </w:rPr>
        <w:t>2 Review contemporary glomerular filtration rate (GFR) estimating equations used in children.</w:t>
      </w:r>
    </w:p>
    <w:p w:rsidRPr="00B946B1" w:rsidP="006A623D">
      <w:pPr>
        <w:spacing w:line="240" w:lineRule="auto"/>
        <w:rPr>
          <w:rFonts w:asciiTheme="majorHAnsi" w:hAnsiTheme="majorHAnsi" w:cstheme="majorHAnsi"/>
        </w:rPr>
      </w:pPr>
      <w:r w:rsidRPr="00B946B1">
        <w:rPr>
          <w:rFonts w:asciiTheme="majorHAnsi" w:hAnsiTheme="majorHAnsi" w:cstheme="majorHAnsi"/>
        </w:rPr>
        <w:t>3 Describe how to implement GFR estimating equations directly in the Laboratory Information System (LIS).</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4 Highlight the use of directly reported GFR in the development of clinical decision support tools aimed at improving recognition of impaired kidney function in children.</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maxiumum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63720F">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381026047"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t>Dietician</w: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program has been approved for Dietician Continuing Education credit by the KDHE, Kansas Sponsorship #D1273, for </w:t>
      </w:r>
      <w:r w:rsidRPr="00B946B1">
        <w:rPr>
          <w:rFonts w:asciiTheme="majorHAnsi" w:hAnsiTheme="majorHAnsi" w:cstheme="majorHAnsi"/>
          <w:bCs/>
          <w:iCs/>
          <w:noProof/>
        </w:rPr>
        <w:t>1.00</w:t>
      </w:r>
      <w:r w:rsidRPr="00B946B1">
        <w:rPr>
          <w:rFonts w:asciiTheme="majorHAnsi" w:hAnsiTheme="majorHAnsi" w:cstheme="majorHAnsi"/>
          <w:bCs/>
          <w:iCs/>
        </w:rPr>
        <w:t xml:space="preserve"> clock hour(s).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Darcy K Weidemann, MD, MHS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993B4D" w:rsidRPr="00B946B1">
      <w:pPr>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9</cp:revision>
  <dcterms:created xsi:type="dcterms:W3CDTF">2024-03-06T19:58:00Z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