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Cancer Rehabilitation: Integrating a Rehabilitative Approach Across the Continuum of Oncological Care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8/29</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8/29</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6643</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Kelli N Chaviano, DO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Assistant Professor &amp; Rehabilitation Medicine Physician, Children's of Alabama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Alabama at Birmingham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"https://cmkc.tv/4cXf8HX"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Understand</w:t>
      </w:r>
      <w:r w:rsidRPr="00B946B1">
        <w:rPr>
          <w:rFonts w:asciiTheme="majorHAnsi" w:hAnsiTheme="majorHAnsi" w:cstheme="majorHAnsi"/>
        </w:rPr>
        <w:t xml:space="preserve"> the role of pediatric rehabilitation medicine</w:t>
      </w:r>
    </w:p>
    <w:p w:rsidRPr="00B946B1" w:rsidP="006A623D">
      <w:pPr>
        <w:spacing w:line="240" w:lineRule="auto"/>
        <w:rPr>
          <w:rFonts w:asciiTheme="majorHAnsi" w:hAnsiTheme="majorHAnsi" w:cstheme="majorHAnsi"/>
        </w:rPr>
      </w:pPr>
      <w:r w:rsidRPr="00B946B1">
        <w:rPr>
          <w:rFonts w:asciiTheme="majorHAnsi" w:hAnsiTheme="majorHAnsi" w:cstheme="majorHAnsi"/>
        </w:rPr>
        <w:t>2 Define cancer rehabilitation.</w:t>
      </w:r>
    </w:p>
    <w:p w:rsidRPr="00B946B1" w:rsidP="006A623D">
      <w:pPr>
        <w:spacing w:line="240" w:lineRule="auto"/>
        <w:rPr>
          <w:rFonts w:asciiTheme="majorHAnsi" w:hAnsiTheme="majorHAnsi" w:cstheme="majorHAnsi"/>
        </w:rPr>
      </w:pPr>
      <w:r w:rsidRPr="00B946B1">
        <w:rPr>
          <w:rFonts w:asciiTheme="majorHAnsi" w:hAnsiTheme="majorHAnsi" w:cstheme="majorHAnsi"/>
        </w:rPr>
        <w:t>3 Apply Dietz model of cancer rehabilitation to cancer care continuum.</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Describe how to build your own cancer rehabilitation program.</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490928370"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Kelli N Chaviano,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support-University of Alabama at Birmingham - 07/31/2024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