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Bridging the Faith and Health Divide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10/3</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10/3</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6648</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Suzanne Watts Henderson,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Senior Director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Interfaith America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"https://cmkc.tv/4cr81Gv" </w:instrText>
            </w:r>
            <w:r>
              <w:rPr>
                <w:rtl w:val="0"/>
              </w:rPr>
              <w:fldChar w:fldCharType="separate"/>
            </w:r>
            <w:r>
              <w:rPr>
                <w:color w:val="0000FF"/>
                <w:u w:val="single"/>
                <w:rtl w:val="0"/>
              </w:rPr>
              <w:t>https://cmkc.tv/4cr81Gv</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Discuss</w:t>
      </w:r>
      <w:r w:rsidRPr="00B946B1">
        <w:rPr>
          <w:rFonts w:asciiTheme="majorHAnsi" w:hAnsiTheme="majorHAnsi" w:cstheme="majorHAnsi"/>
        </w:rPr>
        <w:t xml:space="preserve"> key concepts related to religious identity and diversity in health care settings, including evidence-based findings related to religion and spirituality as social determinants of health  </w:t>
      </w:r>
    </w:p>
    <w:p w:rsidRPr="00B946B1" w:rsidP="006A623D">
      <w:pPr>
        <w:spacing w:line="240" w:lineRule="auto"/>
        <w:rPr>
          <w:rFonts w:asciiTheme="majorHAnsi" w:hAnsiTheme="majorHAnsi" w:cstheme="majorHAnsi"/>
        </w:rPr>
      </w:pPr>
      <w:r w:rsidRPr="00B946B1">
        <w:rPr>
          <w:rFonts w:asciiTheme="majorHAnsi" w:hAnsiTheme="majorHAnsi" w:cstheme="majorHAnsi"/>
        </w:rPr>
        <w:t>2 Develop a “radar screen for religious diversity” in health settings.</w:t>
      </w:r>
    </w:p>
    <w:p w:rsidRPr="00B946B1" w:rsidP="006A623D">
      <w:pPr>
        <w:spacing w:line="240" w:lineRule="auto"/>
        <w:rPr>
          <w:rFonts w:asciiTheme="majorHAnsi" w:hAnsiTheme="majorHAnsi" w:cstheme="majorHAnsi"/>
        </w:rPr>
      </w:pPr>
      <w:r w:rsidRPr="00B946B1">
        <w:rPr>
          <w:rFonts w:asciiTheme="majorHAnsi" w:hAnsiTheme="majorHAnsi" w:cstheme="majorHAnsi"/>
        </w:rPr>
        <w:t>3 Cultivate skills to engage patients’ religious or philosophical worldviews and practices as assets in health settings  Insert an objective</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Identify clinicians’ own religious, spiritual, or secular worldviews or practices as assets in bridging the faith and health divide</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6107558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986143906"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951071148"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Suzanne Watts Henderson,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4</cp:revision>
  <dcterms:created xsi:type="dcterms:W3CDTF">2024-03-06T20:44:00Z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