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Attending to Shared Risk Factors for Accelerated Weight Gain and Eating Disorders: Translation of Research to Practice - Kemper Healthy Lifestyles Lecture</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10/24</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10/24</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BB1D75">
              <w:rPr>
                <w:rFonts w:asciiTheme="majorHAnsi" w:hAnsiTheme="majorHAnsi" w:cstheme="majorHAnsi"/>
                <w:b/>
                <w:noProof/>
                <w:color w:val="009F4D"/>
              </w:rPr>
              <w:t>6651</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Bridget Biggs, PhD, LP, ABPP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Associate Professor of Psychology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Mayo Clinic</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"https://cmkc.tv/3TiQbPb"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Identify</w:t>
      </w:r>
      <w:r w:rsidRPr="00B946B1">
        <w:rPr>
          <w:rFonts w:asciiTheme="majorHAnsi" w:hAnsiTheme="majorHAnsi" w:cstheme="majorHAnsi"/>
        </w:rPr>
        <w:t xml:space="preserve"> factors that increase risk for both accelerated weight gain and eating disorders.</w:t>
      </w:r>
    </w:p>
    <w:p w:rsidRPr="00B946B1" w:rsidP="006A623D">
      <w:pPr>
        <w:spacing w:line="240" w:lineRule="auto"/>
        <w:rPr>
          <w:rFonts w:asciiTheme="majorHAnsi" w:hAnsiTheme="majorHAnsi" w:cstheme="majorHAnsi"/>
        </w:rPr>
      </w:pPr>
      <w:r w:rsidRPr="00B946B1">
        <w:rPr>
          <w:rFonts w:asciiTheme="majorHAnsi" w:hAnsiTheme="majorHAnsi" w:cstheme="majorHAnsi"/>
        </w:rPr>
        <w:t>2 Describe examples of how this knowledge has been applied in clinical care and clinically focused research.</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3 Identify ways they can apply this knowledge to their practice and/or research.</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maxiumum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1.00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63720F">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p>
    <w:p w:rsidR="00833E38" w:rsidP="00833E38">
      <w:pPr>
        <w:rPr>
          <w:rFonts w:asciiTheme="majorHAnsi" w:hAnsiTheme="majorHAnsi" w:cstheme="majorHAnsi"/>
          <w:b/>
          <w:iCs/>
        </w:rPr>
      </w:pPr>
      <w:r>
        <w:rPr>
          <w:rFonts w:asciiTheme="majorHAnsi" w:hAnsiTheme="majorHAnsi" w:cstheme="majorHAnsi"/>
          <w:b/>
          <w:iCs/>
        </w:rPr>
        <w:t>American Board of Anesthesiology</w:t>
      </w:r>
      <w:r w:rsidR="00615379">
        <w:rPr>
          <w:rFonts w:asciiTheme="majorHAnsi" w:hAnsiTheme="majorHAnsi" w:cstheme="majorHAnsi"/>
          <w:b/>
          <w:iCs/>
        </w:rPr>
        <w:t xml:space="preserve"> (ABA)</w:t>
      </w:r>
    </w:p>
    <w:p w:rsidR="00833E38" w:rsidP="00833E38">
      <w:pPr>
        <w:rPr>
          <w:rFonts w:asciiTheme="majorHAnsi" w:hAnsiTheme="majorHAnsi" w:cstheme="majorHAnsi"/>
          <w:b/>
          <w:iCs/>
        </w:rPr>
      </w:pPr>
      <w:r>
        <w:rPr>
          <w:rFonts w:asciiTheme="majorHAnsi" w:hAnsiTheme="majorHAnsi" w:cstheme="majorHAnsi"/>
          <w:bCs/>
          <w:i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95561749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t xml:space="preserve"> </w:t>
      </w:r>
      <w:r>
        <w:rPr>
          <w:rFonts w:asciiTheme="majorHAnsi" w:hAnsiTheme="majorHAnsi" w:cstheme="majorHAnsi"/>
          <w:bCs/>
          <w:iCs/>
        </w:rPr>
        <w:t>This activity contributes to the CME component of the American Board of Anesthesiology's redesigned Maintenance of Certification in Anesth</w:t>
      </w:r>
      <w:r w:rsidR="0063720F">
        <w:rPr>
          <w:rFonts w:asciiTheme="majorHAnsi" w:hAnsiTheme="majorHAnsi" w:cstheme="majorHAnsi"/>
          <w:bCs/>
          <w:iCs/>
        </w:rPr>
        <w:t>e</w:t>
      </w:r>
      <w:r>
        <w:rPr>
          <w:rFonts w:asciiTheme="majorHAnsi" w:hAnsiTheme="majorHAnsi" w:cstheme="majorHAnsi"/>
          <w:bCs/>
          <w:iCs/>
        </w:rPr>
        <w:t>siology™ (MOCA®) program, known as MOCA 2.0® Please consult the ABA website, www.theABA.org, for a list of all MOCA 2.0 requirements.</w:t>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1196019155"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6432"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002480334"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7456"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t>Dietician</w: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program has been approved for Dietician Continuing Education credit by the KDHE, Kansas Sponsorship #D1273, for </w:t>
      </w:r>
      <w:r w:rsidRPr="00B946B1">
        <w:rPr>
          <w:rFonts w:asciiTheme="majorHAnsi" w:hAnsiTheme="majorHAnsi" w:cstheme="majorHAnsi"/>
          <w:bCs/>
          <w:iCs/>
          <w:noProof/>
        </w:rPr>
        <w:t>1.00</w:t>
      </w:r>
      <w:r w:rsidRPr="00B946B1">
        <w:rPr>
          <w:rFonts w:asciiTheme="majorHAnsi" w:hAnsiTheme="majorHAnsi" w:cstheme="majorHAnsi"/>
          <w:bCs/>
          <w:iCs/>
        </w:rPr>
        <w:t xml:space="preserve"> clock hour(s).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Social Work</w:t>
      </w:r>
    </w:p>
    <w:p w:rsidRPr="00B946B1" w:rsidP="008B1A6E">
      <w:pPr>
        <w:spacing w:before="240" w:after="120"/>
        <w:rPr>
          <w:rFonts w:asciiTheme="majorHAnsi" w:hAnsiTheme="majorHAnsi" w:cstheme="majorHAnsi"/>
          <w:b/>
          <w:iCs/>
        </w:rPr>
      </w:pPr>
      <w:r w:rsidRPr="00B946B1">
        <w:rPr>
          <w:rFonts w:asciiTheme="majorHAnsi" w:hAnsiTheme="majorHAnsi" w:cstheme="majorHAnsi"/>
          <w:bCs/>
          <w:iCs/>
          <w:noProof/>
        </w:rPr>
        <w:t>1.00</w:t>
      </w:r>
      <w:r w:rsidRPr="00B946B1">
        <w:rPr>
          <w:rFonts w:asciiTheme="majorHAnsi" w:hAnsiTheme="majorHAnsi" w:cstheme="majorHAnsi"/>
          <w:bCs/>
          <w:iCs/>
        </w:rPr>
        <w:t xml:space="preserve"> Social Work CEU's will be provided to licensed social workers. Children's Mercy Hospital's Department of Social Work and Community Service has been approved as a Continuing Education Provider by the State of Kansas Behavioral Sciences Regulatory Board.</w:t>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sidR="008B1A6E">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Bridget Biggs, PhD, LP,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- 08/24/2024</w:t>
            </w:r>
          </w:p>
        </w:tc>
      </w:tr>
    </w:tbl>
    <w:p w:rsidR="00993B4D" w:rsidRPr="00B946B1">
      <w:pPr>
        <w:bidi w:val="0"/>
        <w:spacing w:after="280" w:afterAutospacing="1"/>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9</cp:revision>
  <dcterms:created xsi:type="dcterms:W3CDTF">2024-03-06T19:58:00Z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