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-Artificial Intelligence in Children's Health: Hype vs. Hope (Dr. Julius M. and Marjorie R. Kantor Endowed Lectureship)</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10/31</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10/31</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BB1D75">
              <w:rPr>
                <w:rFonts w:asciiTheme="majorHAnsi" w:hAnsiTheme="majorHAnsi" w:cstheme="majorHAnsi"/>
                <w:b/>
                <w:noProof/>
                <w:color w:val="009F4D"/>
              </w:rPr>
              <w:t>6652</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Anthony Chang,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"https://cmkc.tv/3Z8TagL"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Discuss</w:t>
      </w:r>
      <w:r w:rsidRPr="00B946B1">
        <w:rPr>
          <w:rFonts w:asciiTheme="majorHAnsi" w:hAnsiTheme="majorHAnsi" w:cstheme="majorHAnsi"/>
        </w:rPr>
        <w:t xml:space="preserve"> the Current Landscape of AI in Pediatric Healthcare: Identify the most promising AI applications in pediatrics, including diagnostic tools, personalized treatment plans, and predictive analytics, and distinguish them from technologies that are overhyped or not yet validated.</w:t>
      </w:r>
    </w:p>
    <w:p w:rsidRPr="00B946B1" w:rsidP="006A623D">
      <w:pPr>
        <w:spacing w:line="240" w:lineRule="auto"/>
        <w:rPr>
          <w:rFonts w:asciiTheme="majorHAnsi" w:hAnsiTheme="majorHAnsi" w:cstheme="majorHAnsi"/>
        </w:rPr>
      </w:pPr>
      <w:r w:rsidRPr="00B946B1">
        <w:rPr>
          <w:rFonts w:asciiTheme="majorHAnsi" w:hAnsiTheme="majorHAnsi" w:cstheme="majorHAnsi"/>
        </w:rPr>
        <w:t>2 Evaluate the Benefits and Limitations of AI in Pediatric Decision-Making: Assess how AI can enhance clinical decision-making, reduce diagnostic errors, and improve patient outcomes, while recognizing the limitations, biases, and ethical challenges associated with these technologies.</w:t>
      </w:r>
    </w:p>
    <w:p w:rsidRPr="00B946B1" w:rsidP="006A623D">
      <w:pPr>
        <w:spacing w:line="240" w:lineRule="auto"/>
        <w:rPr>
          <w:rFonts w:asciiTheme="majorHAnsi" w:hAnsiTheme="majorHAnsi" w:cstheme="majorHAnsi"/>
        </w:rPr>
      </w:pPr>
      <w:r w:rsidRPr="00B946B1">
        <w:rPr>
          <w:rFonts w:asciiTheme="majorHAnsi" w:hAnsiTheme="majorHAnsi" w:cstheme="majorHAnsi"/>
        </w:rPr>
        <w:t>3 Differentiate Between Evidence-Based AI Tools and Unproven Technologies: Learn to critically appraise AI tools by examining the evidence behind their development and implementation, helping pediatricians separate realistic, evidence-based solutions from speculative or misleading claims.</w:t>
      </w:r>
    </w:p>
    <w:p w:rsidRPr="00B946B1" w:rsidP="006A623D">
      <w:pPr>
        <w:spacing w:line="240" w:lineRule="auto"/>
        <w:rPr>
          <w:rFonts w:asciiTheme="majorHAnsi" w:hAnsiTheme="majorHAnsi" w:cstheme="majorHAnsi"/>
        </w:rPr>
      </w:pPr>
      <w:r w:rsidRPr="00B946B1">
        <w:rPr>
          <w:rFonts w:asciiTheme="majorHAnsi" w:hAnsiTheme="majorHAnsi" w:cstheme="majorHAnsi"/>
        </w:rPr>
        <w:t>4 Explore Ethical Considerations and Bias in AI Applications for Children: Discuss the ethical implications of AI in pediatrics, including data privacy concerns, potential biases in algorithms affecting children of diverse backgrounds, and the importance of maintaining human oversight.</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5 Identify Practical Steps for Integrating AI into Pediatric Practice: Outline actionable strategies for integrating AI tools into clinical practice, emphasizing collaboration with AI experts, ongoing education, and ensuring that AI enhances rather than replaces the pediatrician's role in patient care.</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Missouri State Medical Association through the joint providership of The Children's Mercy Hospital and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Pr="009F213A">
        <w:rPr>
          <w:rFonts w:asciiTheme="majorHAnsi" w:hAnsiTheme="majorHAnsi" w:cstheme="majorHAnsi"/>
          <w:bCs/>
          <w:iCs/>
          <w:color w:val="000000" w:themeColor="text1"/>
        </w:rPr>
        <w:instrText>. The Children's Mercy Hospital is accredited by the Missouri State Medical Association 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maxiumum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Children's Mercy Hospital is accredited by the Missouri State Medical Association 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63720F">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895652452"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- 09/05/2024</w:t>
            </w:r>
          </w:p>
        </w:tc>
      </w:tr>
    </w:tbl>
    <w:p w:rsidR="00993B4D" w:rsidRPr="00B946B1">
      <w:pPr>
        <w:bidi w:val="0"/>
        <w:spacing w:after="280" w:afterAutospacing="1"/>
        <w:rPr>
          <w:rFonts w:asciiTheme="majorHAnsi" w:hAnsiTheme="majorHAnsi" w:cstheme="majorHAnsi"/>
          <w:iCs/>
        </w:rPr>
      </w:pPr>
    </w:p>
    <w:sectPr w:rsidSect="004359FA">
      <w:headerReference w:type="default" r:id="rId13"/>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9</cp:revision>
  <dcterms:created xsi:type="dcterms:W3CDTF">2024-03-06T19:58:00Z</dcterms:created>
  <dcterms:modified xsi:type="dcterms:W3CDTF">2024-03-21T17:28:00Z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