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2024 Grand</w:t>
      </w:r>
      <w:r w:rsidRPr="00BB1D75" w:rsidR="00693C14">
        <w:rPr>
          <w:rFonts w:ascii="Arial" w:hAnsi="Arial" w:cs="Arial"/>
          <w:b/>
          <w:bCs/>
          <w:color w:val="005EB8"/>
          <w:sz w:val="36"/>
          <w:szCs w:val="36"/>
        </w:rPr>
        <w:t xml:space="preserve"> Rounds - Human Factors: Empathy Science</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11/7</w:t>
            </w:r>
            <w:r w:rsidRPr="00B946B1">
              <w:rPr>
                <w:rFonts w:asciiTheme="majorHAnsi" w:hAnsiTheme="majorHAnsi" w:cstheme="majorHAnsi"/>
                <w:bCs/>
                <w:noProof/>
              </w:rPr>
              <w:t>/2024 8:00:00 AM</w:t>
            </w:r>
            <w:r w:rsidRPr="00B946B1">
              <w:rPr>
                <w:rFonts w:asciiTheme="majorHAnsi" w:hAnsiTheme="majorHAnsi" w:cstheme="majorHAnsi"/>
                <w:bCs/>
                <w:noProof/>
              </w:rPr>
              <w:t xml:space="preserve"> - </w:t>
            </w:r>
            <w:r w:rsidRPr="00B946B1">
              <w:rPr>
                <w:rFonts w:asciiTheme="majorHAnsi" w:hAnsiTheme="majorHAnsi" w:cstheme="majorHAnsi"/>
                <w:bCs/>
                <w:noProof/>
              </w:rPr>
              <w:t>11/7</w:t>
            </w:r>
            <w:r w:rsidRPr="00B946B1">
              <w:rPr>
                <w:rFonts w:asciiTheme="majorHAnsi" w:hAnsiTheme="majorHAnsi" w:cstheme="majorHAnsi"/>
                <w:bCs/>
                <w:noProof/>
              </w:rPr>
              <w:t>/2024 9:00:00 AM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6653</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Adele Hall</w:t>
            </w:r>
            <w:r w:rsidRPr="00B946B1">
              <w:rPr>
                <w:rFonts w:asciiTheme="majorHAnsi" w:hAnsiTheme="majorHAnsi" w:cstheme="majorHAnsi"/>
                <w:bCs/>
                <w:noProof/>
              </w:rPr>
              <w:t xml:space="preserve"> - Auditorium (West Lobby)</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James C. Won, PhD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Human Factors Program Manager for the Center for Healthcare Quality and Analytics (CHQA), Adjunct Assistant professor for the Perelman School of Medicine and the School of Engineering at the University of Pennsylvania, and a Senior Fellow at the Center for Injury Research and Prevention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p>
          <w:p>
            <w:pPr>
              <w:bidi w:val="0"/>
              <w:spacing w:after="280" w:afterAutospacing="1"/>
              <w:rPr>
                <w:rtl w:val="0"/>
              </w:rPr>
            </w:pPr>
            <w:r>
              <w:rPr>
                <w:rtl w:val="0"/>
              </w:rPr>
              <w:fldChar w:fldCharType="begin"/>
            </w:r>
            <w:r>
              <w:rPr>
                <w:rtl w:val="0"/>
              </w:rPr>
              <w:instrText xml:space="preserve"> HYPERLINK "https://cmkc.tv/3Ya2Sxs" </w:instrText>
            </w:r>
            <w:r>
              <w:rPr>
                <w:rtl w:val="0"/>
              </w:rPr>
              <w:fldChar w:fldCharType="separate"/>
            </w:r>
            <w:r>
              <w:rPr>
                <w:color w:val="0000FF"/>
                <w:u w:val="single"/>
                <w:rtl w:val="0"/>
              </w:rPr>
              <w:t>Click here to join the presentation from your laptop or computer.</w:t>
            </w:r>
            <w:r>
              <w:rPr>
                <w:rtl w:val="0"/>
              </w:rPr>
              <w:fldChar w:fldCharType="end"/>
            </w:r>
            <w:r>
              <w:rPr>
                <w:rtl w:val="0"/>
              </w:rPr>
              <w:t xml:space="preserve"> </w:t>
            </w:r>
          </w:p>
          <w:p>
            <w:pPr>
              <w:bidi w:val="0"/>
              <w:spacing w:after="280" w:afterAutospacing="1"/>
              <w:rPr>
                <w:rtl w:val="0"/>
              </w:rPr>
            </w:pPr>
            <w:r>
              <w:rPr>
                <w:rtl w:val="0"/>
              </w:rPr>
              <w:t>Local and national leaders present pediatric topics in their area of specialty during this weekly series. </w:t>
            </w:r>
          </w:p>
          <w:p>
            <w:pPr>
              <w:bidi w:val="0"/>
              <w:spacing w:after="280" w:afterAutospacing="1"/>
              <w:rPr>
                <w:rtl w:val="0"/>
              </w:rPr>
            </w:pPr>
            <w:r>
              <w:rPr>
                <w:rtl w:val="0"/>
              </w:rPr>
              <w:br/>
            </w:r>
            <w:r>
              <w:rPr>
                <w:rtl w:val="0"/>
              </w:rPr>
              <w:br/>
            </w:r>
            <w:r>
              <w:rPr>
                <w:rtl w:val="0"/>
              </w:rPr>
              <w:t>Objective(s): 1 Discuss basic human factors principles. 2 Identity human factors barriers and facilitators to develop human centered solutions. 3 Apply human factors principles to proactive safety initiatives.</w:t>
            </w:r>
            <w:r>
              <w:rPr>
                <w:rtl w:val="0"/>
              </w:rPr>
              <w:br/>
            </w:r>
            <w:r>
              <w:rPr>
                <w:rtl w:val="0"/>
              </w:rPr>
              <w:t>Location: Adele Hall - Auditorium (West Lobby)</w:t>
            </w:r>
            <w:r>
              <w:rPr>
                <w:rtl w:val="0"/>
              </w:rPr>
              <w:br/>
            </w:r>
            <w:r>
              <w:rPr>
                <w:rtl w:val="0"/>
              </w:rPr>
              <w:t>Specialties: Anesthesiology, Dental Clinic, Family Practice, Graduate Medical Education, Internal Medicine/Pediatrics, Ophthalmology, Orthopaedics, Pathology/Clinical Labs, Pediatrics, Radiology, Research, Surgery, All Specialties</w:t>
            </w:r>
            <w:r>
              <w:rPr>
                <w:rtl w:val="0"/>
              </w:rPr>
              <w:br/>
            </w:r>
            <w:r>
              <w:rPr>
                <w:rtl w:val="0"/>
              </w:rPr>
              <w:br/>
            </w:r>
            <w:r>
              <w:rPr>
                <w:rtl w:val="0"/>
              </w:rPr>
              <w:t xml:space="preserve">Faculty Disclosures: </w:t>
            </w:r>
            <w:r>
              <w:rPr>
                <w:rtl w:val="0"/>
              </w:rPr>
              <w:br/>
            </w:r>
            <w:r>
              <w:rPr>
                <w:rtl w:val="0"/>
              </w:rPr>
              <w:t>James C. Won, PhD (Nothing to disclose - 11/01/2024)</w:t>
            </w:r>
            <w:r>
              <w:rPr>
                <w:rtl w:val="0"/>
              </w:rPr>
              <w:br/>
            </w:r>
            <w:r>
              <w:rPr>
                <w:rtl w:val="0"/>
              </w:rPr>
              <w:fldChar w:fldCharType="begin"/>
            </w:r>
            <w:r>
              <w:rPr>
                <w:rtl w:val="0"/>
              </w:rPr>
              <w:instrText xml:space="preserve"> HYPERLINK "https://childrensmercy.cloud-cme.com/Assets/childrensmercy/activities/6653/Brochure_6653.pdf" </w:instrText>
            </w:r>
            <w:r>
              <w:rPr>
                <w:rtl w:val="0"/>
              </w:rPr>
              <w:fldChar w:fldCharType="separate"/>
            </w:r>
            <w:r>
              <w:rPr>
                <w:color w:val="0000FF"/>
                <w:u w:val="single"/>
                <w:rtl w:val="0"/>
              </w:rPr>
              <w:t>Download Handout</w:t>
            </w:r>
            <w:r>
              <w:rPr>
                <w:rtl w:val="0"/>
              </w:rPr>
              <w:fldChar w:fldCharType="end"/>
            </w:r>
            <w:r>
              <w:rPr>
                <w:rtl w:val="0"/>
              </w:rPr>
              <w:t xml:space="preserve"> </w:t>
            </w: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Discuss</w:t>
      </w:r>
      <w:r w:rsidRPr="00B946B1">
        <w:rPr>
          <w:rFonts w:asciiTheme="majorHAnsi" w:hAnsiTheme="majorHAnsi" w:cstheme="majorHAnsi"/>
        </w:rPr>
        <w:t xml:space="preserve"> basic human factors principles.</w:t>
      </w:r>
    </w:p>
    <w:p w:rsidRPr="00B946B1" w:rsidP="006A623D">
      <w:pPr>
        <w:spacing w:line="240" w:lineRule="auto"/>
        <w:rPr>
          <w:rFonts w:asciiTheme="majorHAnsi" w:hAnsiTheme="majorHAnsi" w:cstheme="majorHAnsi"/>
        </w:rPr>
      </w:pPr>
      <w:r w:rsidRPr="00B946B1">
        <w:rPr>
          <w:rFonts w:asciiTheme="majorHAnsi" w:hAnsiTheme="majorHAnsi" w:cstheme="majorHAnsi"/>
        </w:rPr>
        <w:t>2 Identity human factors barriers and facilitators to develop human centered solutions.</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3 Apply human factors principles to proactive safety initiatives.</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 xml:space="preserve">through the joint providership of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004754FD">
        <w:rPr>
          <w:rFonts w:asciiTheme="majorHAnsi" w:hAnsiTheme="majorHAnsi" w:cstheme="majorHAnsi"/>
          <w:bCs/>
          <w:iCs/>
          <w:color w:val="000000" w:themeColor="text1"/>
        </w:rPr>
        <w:instrText xml:space="preserve"> and Children's Mercy Hospital</w:instrText>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1.00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1.00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1.00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p>
    <w:p w:rsidR="00833E38" w:rsidP="00833E38">
      <w:pPr>
        <w:rPr>
          <w:rFonts w:asciiTheme="majorHAnsi" w:hAnsiTheme="majorHAnsi" w:cstheme="majorHAnsi"/>
          <w:b/>
          <w:iCs/>
        </w:rPr>
      </w:pPr>
      <w:r>
        <w:rPr>
          <w:rFonts w:asciiTheme="majorHAnsi" w:hAnsiTheme="majorHAnsi" w:cstheme="majorHAnsi"/>
          <w:b/>
          <w:iCs/>
        </w:rPr>
        <w:t>American Board of Anesthesiology</w:t>
      </w:r>
      <w:r w:rsidR="00615379">
        <w:rPr>
          <w:rFonts w:asciiTheme="majorHAnsi" w:hAnsiTheme="majorHAnsi" w:cstheme="majorHAnsi"/>
          <w:b/>
          <w:iCs/>
        </w:rPr>
        <w:t xml:space="preserve"> (ABA)</w:t>
      </w:r>
    </w:p>
    <w:p w:rsidR="00833E38" w:rsidP="00833E38">
      <w:pPr>
        <w:rPr>
          <w:rFonts w:asciiTheme="majorHAnsi" w:hAnsiTheme="majorHAnsi" w:cstheme="majorHAnsi"/>
          <w:b/>
          <w:iCs/>
        </w:rPr>
      </w:pPr>
      <w:r>
        <w:rPr>
          <w:rFonts w:asciiTheme="majorHAnsi" w:hAnsiTheme="majorHAnsi" w:cstheme="majorHAnsi"/>
          <w:bCs/>
          <w:iCs/>
          <w:noProof/>
        </w:rPr>
        <w:drawing>
          <wp:anchor distT="0" distB="0" distL="114300" distR="114300" simplePos="0" relativeHeight="251664384"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405224130"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t xml:space="preserve"> </w:t>
      </w:r>
      <w:r>
        <w:rPr>
          <w:rFonts w:asciiTheme="majorHAnsi" w:hAnsiTheme="majorHAnsi" w:cstheme="majorHAnsi"/>
          <w:bCs/>
          <w:iCs/>
        </w:rPr>
        <w:t>This activity contributes to the CME component of the American Board of Anesthesiology's redesigned Maintenance of Certification in Anesth</w:t>
      </w:r>
      <w:r w:rsidR="00837428">
        <w:rPr>
          <w:rFonts w:asciiTheme="majorHAnsi" w:hAnsiTheme="majorHAnsi" w:cstheme="majorHAnsi"/>
          <w:bCs/>
          <w:iCs/>
        </w:rPr>
        <w:t>e</w:t>
      </w:r>
      <w:r>
        <w:rPr>
          <w:rFonts w:asciiTheme="majorHAnsi" w:hAnsiTheme="majorHAnsi" w:cstheme="majorHAnsi"/>
          <w:bCs/>
          <w:iCs/>
        </w:rPr>
        <w:t>siology™ (MOCA®) program, known as MOCA 2.0® Please consult the ABA website, www.theABA.org, for a list of all MOCA 2.0 requirements.</w:t>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noProof/>
          <w:color w:val="212529"/>
          <w:shd w:val="clear" w:color="auto" w:fill="FFFFFF"/>
        </w:rPr>
        <w:instrText>1.00</w:instrText>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t>American Board of Pathology (ABPath)</w:t>
      </w:r>
    </w:p>
    <w:p w:rsidR="00833E38" w:rsidP="000D1A06">
      <w:pPr>
        <w:rPr>
          <w:rFonts w:asciiTheme="majorHAnsi" w:hAnsiTheme="majorHAnsi" w:cstheme="majorHAnsi"/>
          <w:color w:val="212529"/>
          <w:shd w:val="clear" w:color="auto" w:fill="FFFFFF"/>
        </w:rPr>
      </w:pPr>
      <w:r>
        <w:rPr>
          <w:rFonts w:asciiTheme="majorHAnsi" w:hAnsiTheme="majorHAnsi" w:cstheme="majorHAnsi"/>
          <w:noProof/>
          <w:color w:val="212529"/>
          <w:shd w:val="clear" w:color="auto" w:fill="FFFFF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1212407788"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t xml:space="preserve">Successful completion of this CME activity, which includes participation in the evaluation component, enables the participant to earn up to </w:t>
      </w:r>
      <w:r w:rsidR="005C4D3F">
        <w:rPr>
          <w:rFonts w:asciiTheme="majorHAnsi" w:hAnsiTheme="majorHAnsi" w:cstheme="majorHAnsi"/>
          <w:noProof/>
          <w:color w:val="212529"/>
          <w:shd w:val="clear" w:color="auto" w:fill="FFFFFF"/>
        </w:rPr>
        <w:t>1.00</w:t>
      </w:r>
      <w:r w:rsidR="005C4D3F">
        <w:rPr>
          <w:rFonts w:asciiTheme="majorHAnsi" w:hAnsiTheme="majorHAnsi" w:cstheme="majorHAnsi"/>
          <w:color w:val="212529"/>
          <w:shd w:val="clear" w:color="auto" w:fill="FFFFFF"/>
        </w:rPr>
        <w:t xml:space="preserve"> Lifelong Learning credit in the American Board of Pathology (ABPath) Continuous Certification program. It is the CME provider's responsibility to submit learner completion information to the ACCME for the purpose of granting ABPath credit.</w:t>
      </w:r>
      <w:r>
        <w:rPr>
          <w:rFonts w:asciiTheme="majorHAnsi" w:hAnsiTheme="majorHAnsi" w:cstheme="majorHAnsi"/>
          <w:color w:val="212529"/>
          <w:shd w:val="clear" w:color="auto" w:fill="FFFFFF"/>
        </w:rPr>
        <w:fldChar w:fldCharType="end"/>
      </w:r>
      <w:r w:rsidRPr="00B946B1" w:rsidR="00D16426">
        <w:rPr>
          <w:rFonts w:asciiTheme="majorHAnsi" w:hAnsiTheme="majorHAnsi" w:cstheme="majorHAnsi"/>
          <w:b/>
          <w:iCs/>
        </w:rPr>
        <w:fldChar w:fldCharType="begin"/>
      </w:r>
      <w:r w:rsidRPr="00B946B1" w:rsidR="00D16426">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sidR="00D16426">
        <w:rPr>
          <w:rFonts w:asciiTheme="majorHAnsi" w:hAnsiTheme="majorHAnsi" w:cstheme="majorHAnsi"/>
          <w:b/>
          <w:iCs/>
        </w:rPr>
        <w:instrText xml:space="preserve"> </w:instrText>
      </w:r>
      <w:r w:rsidRPr="00B946B1" w:rsidR="00D16426">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1.00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5408"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t>American Board of Surger</w:t>
      </w:r>
      <w:r>
        <w:rPr>
          <w:rFonts w:asciiTheme="majorHAnsi" w:hAnsiTheme="majorHAnsi" w:cstheme="majorHAnsi"/>
          <w:b/>
          <w:bCs/>
        </w:rPr>
        <w:t>y</w:t>
      </w:r>
      <w:r w:rsidR="006F0D31">
        <w:rPr>
          <w:rFonts w:asciiTheme="majorHAnsi" w:hAnsiTheme="majorHAnsi" w:cstheme="majorHAnsi"/>
          <w:b/>
          <w:bCs/>
        </w:rPr>
        <w:t xml:space="preserve"> (ABS)</w:t>
      </w:r>
    </w:p>
    <w:p w:rsidR="00615379"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6432"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685237384"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Pr>
          <w:rFonts w:asciiTheme="majorHAnsi" w:hAnsiTheme="majorHAnsi" w:cstheme="majorHAnsi"/>
          <w:color w:val="212529"/>
          <w:shd w:val="clear" w:color="auto" w:fill="FFFFFF"/>
        </w:rPr>
        <w: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t>
      </w:r>
      <w:r>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sidR="00614901">
        <w:rPr>
          <w:rFonts w:asciiTheme="majorHAnsi" w:hAnsiTheme="majorHAnsi" w:cstheme="majorHAnsi"/>
          <w:b/>
          <w:bCs/>
          <w:noProof/>
        </w:rPr>
        <w:instrText>0.00</w:instrText>
      </w:r>
      <w:r w:rsidR="00614901">
        <w:rPr>
          <w:rFonts w:asciiTheme="majorHAnsi" w:hAnsiTheme="majorHAnsi" w:cstheme="majorHAnsi"/>
          <w:b/>
          <w:bCs/>
        </w:rPr>
        <w:instrText xml:space="preserve"> </w:instrText>
      </w:r>
      <w:r w:rsidR="00614901">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7456"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enables the learner to earn credit toward the CME requirement of the American Board of Thoracic Surgery's Maintenance of Certification program. It is the CME activity provider's 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t>Dietician</w: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program has been approved for Dietician Continuing Education credit by the KDHE, Kansas Sponsorship #D1273, for </w:t>
      </w:r>
      <w:r w:rsidRPr="00B946B1">
        <w:rPr>
          <w:rFonts w:asciiTheme="majorHAnsi" w:hAnsiTheme="majorHAnsi" w:cstheme="majorHAnsi"/>
          <w:bCs/>
          <w:iCs/>
          <w:noProof/>
        </w:rPr>
        <w:t>1.00</w:t>
      </w:r>
      <w:r w:rsidRPr="00B946B1">
        <w:rPr>
          <w:rFonts w:asciiTheme="majorHAnsi" w:hAnsiTheme="majorHAnsi" w:cstheme="majorHAnsi"/>
          <w:bCs/>
          <w:iCs/>
        </w:rPr>
        <w:t xml:space="preserve"> clock hour(s).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Radiology</w:t>
      </w:r>
    </w:p>
    <w:p w:rsidRPr="00B946B1" w:rsidP="0095107F">
      <w:pPr>
        <w:spacing w:after="120"/>
        <w:rPr>
          <w:rFonts w:asciiTheme="majorHAnsi" w:hAnsiTheme="majorHAnsi" w:cstheme="majorHAnsi"/>
          <w:b/>
          <w:iCs/>
        </w:rPr>
      </w:pPr>
      <w:r w:rsidRPr="00B946B1">
        <w:rPr>
          <w:rFonts w:asciiTheme="majorHAnsi" w:hAnsiTheme="majorHAnsi" w:cstheme="majorHAnsi"/>
          <w:bCs/>
          <w:iCs/>
        </w:rPr>
        <w:t xml:space="preserve">This activity has been approved by ASRT for </w:t>
      </w:r>
      <w:r w:rsidRPr="00B946B1">
        <w:rPr>
          <w:rFonts w:asciiTheme="majorHAnsi" w:hAnsiTheme="majorHAnsi" w:cstheme="majorHAnsi"/>
          <w:bCs/>
          <w:iCs/>
          <w:noProof/>
        </w:rPr>
        <w:t>1.00</w:t>
      </w:r>
      <w:r w:rsidRPr="00B946B1">
        <w:rPr>
          <w:rFonts w:asciiTheme="majorHAnsi" w:hAnsiTheme="majorHAnsi" w:cstheme="majorHAnsi"/>
          <w:bCs/>
          <w:iCs/>
        </w:rPr>
        <w:t xml:space="preserve"> Category A CE credits.</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1.20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noProof/>
        </w:rPr>
        <w:instrText>1.20</w:instrText>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t>Respiratory Therapy</w:t>
      </w:r>
    </w:p>
    <w:p w:rsidRPr="00B946B1" w:rsidP="001C7210">
      <w:pPr>
        <w:spacing w:after="120"/>
        <w:rPr>
          <w:rFonts w:asciiTheme="majorHAnsi" w:hAnsiTheme="majorHAnsi" w:cstheme="majorHAnsi"/>
          <w:b/>
          <w:iCs/>
        </w:rPr>
      </w:pPr>
      <w:r w:rsidRPr="00B946B1">
        <w:rPr>
          <w:rFonts w:asciiTheme="majorHAnsi" w:hAnsiTheme="majorHAnsi" w:cstheme="majorHAnsi"/>
          <w:bCs/>
          <w:iCs/>
        </w:rPr>
        <w:t xml:space="preserve">Children's Mercy Hospital's CE Evaluator has approved this program for </w:t>
      </w:r>
      <w:r w:rsidRPr="00B946B1">
        <w:rPr>
          <w:rFonts w:asciiTheme="majorHAnsi" w:hAnsiTheme="majorHAnsi" w:cstheme="majorHAnsi"/>
          <w:bCs/>
          <w:iCs/>
          <w:noProof/>
        </w:rPr>
        <w:t>1.20</w:t>
      </w:r>
      <w:r w:rsidRPr="00B946B1">
        <w:rPr>
          <w:rFonts w:asciiTheme="majorHAnsi" w:hAnsiTheme="majorHAnsi" w:cstheme="majorHAnsi"/>
          <w:bCs/>
          <w:iCs/>
        </w:rPr>
        <w:t xml:space="preserve"> hours of Respiratory Continuing Education on behalf of the Kansas Respiratory Care Society, a chapter of the AARC. Providership #KRCS003</w:t>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1.00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noProof/>
        </w:rPr>
        <w:instrText>1.00</w:instrText>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t>Social Work</w:t>
      </w:r>
    </w:p>
    <w:p w:rsidRPr="00B946B1" w:rsidP="008B1A6E">
      <w:pPr>
        <w:spacing w:before="240" w:after="120"/>
        <w:rPr>
          <w:rFonts w:asciiTheme="majorHAnsi" w:hAnsiTheme="majorHAnsi" w:cstheme="majorHAnsi"/>
          <w:b/>
          <w:iCs/>
        </w:rPr>
      </w:pPr>
      <w:r w:rsidRPr="00B946B1">
        <w:rPr>
          <w:rFonts w:asciiTheme="majorHAnsi" w:hAnsiTheme="majorHAnsi" w:cstheme="majorHAnsi"/>
          <w:bCs/>
          <w:iCs/>
          <w:noProof/>
        </w:rPr>
        <w:t>1.00</w:t>
      </w:r>
      <w:r w:rsidRPr="00B946B1">
        <w:rPr>
          <w:rFonts w:asciiTheme="majorHAnsi" w:hAnsiTheme="majorHAnsi" w:cstheme="majorHAnsi"/>
          <w:bCs/>
          <w:iCs/>
        </w:rPr>
        <w:t xml:space="preserve"> Social Work CEU's will be provided to licensed social workers. Children's Mercy Hospital's Department of Social Work and Community Service has been approved as a Continuing Education Provider by the State of Kansas Behavioral Sciences Regulatory Board.</w:t>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sidR="008B1A6E">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ACCME&amp;rsquo;s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Amy L Hill,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Julia R Broussard,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 Cocjin,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B Hathaway,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Fadi J Al Muhaisen,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Joy L Solano,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Rochelle Harris, PhD, ABPP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Krishna Dummula,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Brenda Salley,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Rose A. Mettlen,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Leni W. Swails,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C. Won,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- 11/01/2024</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2.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3.xml><?xml version="1.0" encoding="utf-8"?>
<ds:datastoreItem xmlns:ds="http://schemas.openxmlformats.org/officeDocument/2006/customXml" ds:itemID="{02439E99-9C2E-4E57-85ED-D32261DD2644}">
  <ds:schemaRefs>
    <ds:schemaRef ds:uri="http://schemas.microsoft.com/sharepoint/v3/contenttype/forms"/>
  </ds:schemaRefs>
</ds:datastoreItem>
</file>

<file path=customXml/itemProps4.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1801</Words>
  <Characters>10269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Hill, Amy, L</cp:lastModifiedBy>
  <cp:revision>2</cp:revision>
  <dcterms:created xsi:type="dcterms:W3CDTF">2024-11-06T18:54:00Z</dcterms:created>
  <dcterms:modified xsi:type="dcterms:W3CDTF">2024-11-06T18:54:00Z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