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 Neurodevelopmental Heterogeneity in 22q11.2 Syndrome – Past, Present, and Future Shifts</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12/19</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12/19</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6659</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Matthew Feldt, DO</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Interim Division Director, Pediatrics/Endocrine; Medical Director, 22Q Multidisciplinary Program; Associate Professor of Pediatrics, University of Missouri-Kansas City School of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Kansas City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Gail Robertson, PhD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Pediatric Psychologist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t> </w:t>
            </w:r>
            <w:r>
              <w:rPr>
                <w:rtl w:val="0"/>
              </w:rPr>
              <w:fldChar w:fldCharType="begin"/>
            </w:r>
            <w:r>
              <w:rPr>
                <w:rtl w:val="0"/>
              </w:rPr>
              <w:instrText xml:space="preserve"> HYPERLINK "https://cmkc.tv/40Btf29" </w:instrText>
            </w:r>
            <w:r>
              <w:rPr>
                <w:rtl w:val="0"/>
              </w:rPr>
              <w:fldChar w:fldCharType="separate"/>
            </w:r>
            <w:r>
              <w:rPr>
                <w:color w:val="0000FF"/>
                <w:u w:val="single"/>
                <w:rtl w:val="0"/>
              </w:rPr>
              <w:t>Click here to join the presentation from your laptop or computer.</w:t>
            </w:r>
            <w:r>
              <w:rPr>
                <w:rtl w:val="0"/>
              </w:rPr>
              <w:fldChar w:fldCharType="end"/>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Explain</w:t>
      </w:r>
      <w:r w:rsidRPr="00B946B1">
        <w:rPr>
          <w:rFonts w:asciiTheme="majorHAnsi" w:hAnsiTheme="majorHAnsi" w:cstheme="majorHAnsi"/>
        </w:rPr>
        <w:t xml:space="preserve"> the genetic basis of 22q11.2 deletion.</w:t>
      </w:r>
    </w:p>
    <w:p w:rsidRPr="00B946B1" w:rsidP="006A623D">
      <w:pPr>
        <w:spacing w:line="240" w:lineRule="auto"/>
        <w:rPr>
          <w:rFonts w:asciiTheme="majorHAnsi" w:hAnsiTheme="majorHAnsi" w:cstheme="majorHAnsi"/>
        </w:rPr>
      </w:pPr>
      <w:r w:rsidRPr="00B946B1">
        <w:rPr>
          <w:rFonts w:asciiTheme="majorHAnsi" w:hAnsiTheme="majorHAnsi" w:cstheme="majorHAnsi"/>
        </w:rPr>
        <w:t>1 Identify common clinical features associated with this syndrome.</w:t>
      </w:r>
    </w:p>
    <w:p w:rsidRPr="00B946B1" w:rsidP="006A623D">
      <w:pPr>
        <w:spacing w:line="240" w:lineRule="auto"/>
        <w:rPr>
          <w:rFonts w:asciiTheme="majorHAnsi" w:hAnsiTheme="majorHAnsi" w:cstheme="majorHAnsi"/>
        </w:rPr>
      </w:pPr>
      <w:r w:rsidRPr="00B946B1">
        <w:rPr>
          <w:rFonts w:asciiTheme="majorHAnsi" w:hAnsiTheme="majorHAnsi" w:cstheme="majorHAnsi"/>
        </w:rPr>
        <w:t>2 List the various names used to describe 22q11.2 deletion syndrome.</w:t>
      </w:r>
    </w:p>
    <w:p w:rsidRPr="00B946B1" w:rsidP="006A623D">
      <w:pPr>
        <w:spacing w:line="240" w:lineRule="auto"/>
        <w:rPr>
          <w:rFonts w:asciiTheme="majorHAnsi" w:hAnsiTheme="majorHAnsi" w:cstheme="majorHAnsi"/>
        </w:rPr>
      </w:pPr>
      <w:r w:rsidRPr="00B946B1">
        <w:rPr>
          <w:rFonts w:asciiTheme="majorHAnsi" w:hAnsiTheme="majorHAnsi" w:cstheme="majorHAnsi"/>
        </w:rPr>
        <w:t>3 Recognize the historical context and evolution of terminology.</w:t>
      </w:r>
    </w:p>
    <w:p w:rsidRPr="00B946B1" w:rsidP="006A623D">
      <w:pPr>
        <w:spacing w:line="240" w:lineRule="auto"/>
        <w:rPr>
          <w:rFonts w:asciiTheme="majorHAnsi" w:hAnsiTheme="majorHAnsi" w:cstheme="majorHAnsi"/>
        </w:rPr>
      </w:pPr>
      <w:r w:rsidRPr="00B946B1">
        <w:rPr>
          <w:rFonts w:asciiTheme="majorHAnsi" w:hAnsiTheme="majorHAnsi" w:cstheme="majorHAnsi"/>
        </w:rPr>
        <w:t>5 Understand specific gene contributions in the classical and neurodevelopmental phenotype of 22q11.2.</w:t>
      </w:r>
    </w:p>
    <w:p w:rsidRPr="00B946B1" w:rsidP="006A623D">
      <w:pPr>
        <w:spacing w:line="240" w:lineRule="auto"/>
        <w:rPr>
          <w:rFonts w:asciiTheme="majorHAnsi" w:hAnsiTheme="majorHAnsi" w:cstheme="majorHAnsi"/>
        </w:rPr>
      </w:pPr>
      <w:r w:rsidRPr="00B946B1">
        <w:rPr>
          <w:rFonts w:asciiTheme="majorHAnsi" w:hAnsiTheme="majorHAnsi" w:cstheme="majorHAnsi"/>
        </w:rPr>
        <w:t>6 Compare prevalence rates from earlier studies to current data.</w:t>
      </w:r>
    </w:p>
    <w:p w:rsidRPr="00B946B1" w:rsidP="006A623D">
      <w:pPr>
        <w:spacing w:line="240" w:lineRule="auto"/>
        <w:rPr>
          <w:rFonts w:asciiTheme="majorHAnsi" w:hAnsiTheme="majorHAnsi" w:cstheme="majorHAnsi"/>
        </w:rPr>
      </w:pPr>
      <w:r w:rsidRPr="00B946B1">
        <w:rPr>
          <w:rFonts w:asciiTheme="majorHAnsi" w:hAnsiTheme="majorHAnsi" w:cstheme="majorHAnsi"/>
        </w:rPr>
        <w:t>7 Describe changes in diagnostic criteria and awareness.</w:t>
      </w:r>
    </w:p>
    <w:p w:rsidRPr="00B946B1" w:rsidP="006A623D">
      <w:pPr>
        <w:spacing w:line="240" w:lineRule="auto"/>
        <w:rPr>
          <w:rFonts w:asciiTheme="majorHAnsi" w:hAnsiTheme="majorHAnsi" w:cstheme="majorHAnsi"/>
        </w:rPr>
      </w:pPr>
      <w:r w:rsidRPr="00B946B1">
        <w:rPr>
          <w:rFonts w:asciiTheme="majorHAnsi" w:hAnsiTheme="majorHAnsi" w:cstheme="majorHAnsi"/>
        </w:rPr>
        <w:t>8 Discuss the heterogeneity in 22q11.2 syndrome.</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9 Identify emerging interventions for managing 22q11.2-related conditions.</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 xml:space="preserve">through the joint providership of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004754FD">
        <w:rPr>
          <w:rFonts w:asciiTheme="majorHAnsi" w:hAnsiTheme="majorHAnsi" w:cstheme="majorHAnsi"/>
          <w:bCs/>
          <w:iCs/>
          <w:color w:val="000000" w:themeColor="text1"/>
        </w:rPr>
        <w:instrText xml:space="preserve"> and Children's Mercy Hospital</w:instrText>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1.00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p>
    <w:p w:rsidR="00833E38" w:rsidP="00833E38">
      <w:pPr>
        <w:rPr>
          <w:rFonts w:asciiTheme="majorHAnsi" w:hAnsiTheme="majorHAnsi" w:cstheme="majorHAnsi"/>
          <w:b/>
          <w:iCs/>
        </w:rPr>
      </w:pPr>
      <w:r>
        <w:rPr>
          <w:rFonts w:asciiTheme="majorHAnsi" w:hAnsiTheme="majorHAnsi" w:cstheme="majorHAnsi"/>
          <w:b/>
          <w:iCs/>
        </w:rPr>
        <w:t>American Board of Anesthesiology</w:t>
      </w:r>
      <w:r w:rsidR="00615379">
        <w:rPr>
          <w:rFonts w:asciiTheme="majorHAnsi" w:hAnsiTheme="majorHAnsi" w:cstheme="majorHAnsi"/>
          <w:b/>
          <w:iCs/>
        </w:rPr>
        <w:t xml:space="preserve"> (ABA)</w:t>
      </w:r>
    </w:p>
    <w:p w:rsidR="00833E38" w:rsidP="00833E38">
      <w:pPr>
        <w:rPr>
          <w:rFonts w:asciiTheme="majorHAnsi" w:hAnsiTheme="majorHAnsi" w:cstheme="majorHAnsi"/>
          <w:b/>
          <w:iCs/>
        </w:rPr>
      </w:pPr>
      <w:r>
        <w:rPr>
          <w:rFonts w:asciiTheme="majorHAnsi" w:hAnsiTheme="majorHAnsi" w:cstheme="majorHAnsi"/>
          <w:bCs/>
          <w:iCs/>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71767967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t xml:space="preserve"> </w:t>
      </w:r>
      <w:r>
        <w:rPr>
          <w:rFonts w:asciiTheme="majorHAnsi" w:hAnsiTheme="majorHAnsi" w:cstheme="majorHAnsi"/>
          <w:bCs/>
          <w:iCs/>
        </w:rPr>
        <w:t>This activity contributes to the CME component of the American Board of Anesthesiology's redesigned Maintenance of Certification in Anesth</w:t>
      </w:r>
      <w:r w:rsidR="00837428">
        <w:rPr>
          <w:rFonts w:asciiTheme="majorHAnsi" w:hAnsiTheme="majorHAnsi" w:cstheme="majorHAnsi"/>
          <w:bCs/>
          <w:iCs/>
        </w:rPr>
        <w:t>e</w:t>
      </w:r>
      <w:r>
        <w:rPr>
          <w:rFonts w:asciiTheme="majorHAnsi" w:hAnsiTheme="majorHAnsi" w:cstheme="majorHAnsi"/>
          <w:bCs/>
          <w:iCs/>
        </w:rPr>
        <w:t>siology™ (MOCA®) program, known as MOCA 2.0® Please consult the ABA website, www.theABA.org, for a list of all MOCA 2.0 requirements.</w:t>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American Board of Pathology (ABPath)</w:t>
      </w:r>
    </w:p>
    <w:p w:rsidR="00833E38" w:rsidP="000D1A06">
      <w:pPr>
        <w:rPr>
          <w:rFonts w:asciiTheme="majorHAnsi" w:hAnsiTheme="majorHAnsi" w:cstheme="majorHAnsi"/>
          <w:color w:val="212529"/>
          <w:shd w:val="clear" w:color="auto" w:fill="FFFFFF"/>
        </w:rPr>
      </w:pPr>
      <w:r>
        <w:rPr>
          <w:rFonts w:asciiTheme="majorHAnsi" w:hAnsiTheme="majorHAnsi" w:cstheme="majorHAnsi"/>
          <w:noProof/>
          <w:color w:val="212529"/>
          <w:shd w:val="clear" w:color="auto" w:fill="FFFFF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1466774169"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t xml:space="preserve">Successful completion of this CME activity, which includes participation in the evaluation component, enables the participant to earn up to </w:t>
      </w:r>
      <w:r w:rsidR="005C4D3F">
        <w:rPr>
          <w:rFonts w:asciiTheme="majorHAnsi" w:hAnsiTheme="majorHAnsi" w:cstheme="majorHAnsi"/>
          <w:noProof/>
          <w:color w:val="212529"/>
          <w:shd w:val="clear" w:color="auto" w:fill="FFFFFF"/>
        </w:rPr>
        <w:t>1.00</w:t>
      </w:r>
      <w:r w:rsidR="005C4D3F">
        <w:rPr>
          <w:rFonts w:asciiTheme="majorHAnsi" w:hAnsiTheme="majorHAnsi" w:cstheme="majorHAnsi"/>
          <w:color w:val="212529"/>
          <w:shd w:val="clear" w:color="auto" w:fill="FFFFFF"/>
        </w:rPr>
        <w:t xml:space="preserve"> Lifelong Learning credit in the American Board of Pathology (ABPath) Continuous Certification program. It is the CME provider's responsibility to submit learner completion information to the ACCME for the purpose of granting ABPath credit.</w:t>
      </w:r>
      <w:r>
        <w:rPr>
          <w:rFonts w:asciiTheme="majorHAnsi" w:hAnsiTheme="majorHAnsi" w:cstheme="majorHAnsi"/>
          <w:color w:val="212529"/>
          <w:shd w:val="clear" w:color="auto" w:fill="FFFFFF"/>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6432"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7339333"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7456"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Feldt,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Gail Robertson,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993B4D" w:rsidRPr="00B946B1">
      <w:pPr>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cp:revision>
  <dcterms:created xsi:type="dcterms:W3CDTF">2024-11-06T18:54:00Z</dcterms:created>
  <dcterms:modified xsi:type="dcterms:W3CDTF">2024-11-06T18:54:00Z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