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Surgery Grand</w:t>
      </w:r>
      <w:r w:rsidRPr="00BB1D75" w:rsidR="00693C14">
        <w:rPr>
          <w:rFonts w:ascii="Arial" w:hAnsi="Arial" w:cs="Arial"/>
          <w:b/>
          <w:bCs/>
          <w:color w:val="005EB8"/>
          <w:sz w:val="36"/>
          <w:szCs w:val="36"/>
        </w:rPr>
        <w:t xml:space="preserve"> Rounds 2024 - Moral Injury and Corporate Medicine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11/14</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11/14</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7110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Jennifer Weiss,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Chief of Orthopedic Surgery, Los Angeles Medical Center, Kaiser Permanente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Click here to join the presentation from your laptop or computer.</w:t>
            </w:r>
          </w:p>
          <w:p>
            <w:pPr>
              <w:bidi w:val="0"/>
              <w:spacing w:after="280" w:afterAutospacing="1"/>
              <w:rPr>
                <w:rtl w:val="0"/>
              </w:rPr>
            </w:pPr>
            <w:r>
              <w:rPr>
                <w:rtl w:val="0"/>
              </w:rPr>
              <w:br/>
            </w:r>
            <w:r>
              <w:rPr>
                <w:rtl w:val="0"/>
              </w:rPr>
              <w:t>Local and national leaders present pediatric topics in their area of surgery during this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Recognize</w:t>
      </w:r>
      <w:r w:rsidRPr="00B946B1">
        <w:rPr>
          <w:rFonts w:asciiTheme="majorHAnsi" w:hAnsiTheme="majorHAnsi" w:cstheme="majorHAnsi"/>
        </w:rPr>
        <w:t xml:space="preserve"> the difference between the terms “moral injury” and “burnout”</w:t>
      </w:r>
    </w:p>
    <w:p w:rsidRPr="00B946B1" w:rsidP="006A623D">
      <w:pPr>
        <w:spacing w:line="240" w:lineRule="auto"/>
        <w:rPr>
          <w:rFonts w:asciiTheme="majorHAnsi" w:hAnsiTheme="majorHAnsi" w:cstheme="majorHAnsi"/>
        </w:rPr>
      </w:pPr>
      <w:r w:rsidRPr="00B946B1">
        <w:rPr>
          <w:rFonts w:asciiTheme="majorHAnsi" w:hAnsiTheme="majorHAnsi" w:cstheme="majorHAnsi"/>
        </w:rPr>
        <w:t>2 Define language that best describes the relationship between patient and physician</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 xml:space="preserve">3 Identify opportunities to advocate for all members of the healthcare team to work up to scope of practice </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980071510"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