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GROL 02</w:t>
      </w:r>
      <w:r w:rsidR="00693C14">
        <w:rPr>
          <w:rFonts w:ascii="Arial" w:hAnsi="Arial" w:cs="Arial"/>
          <w:b/>
          <w:bCs/>
          <w:sz w:val="36"/>
          <w:szCs w:val="36"/>
        </w:rPr>
        <w:t>/29/24 - Suicide Prevention in Children and Adolescents</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2/29</w:t>
            </w:r>
            <w:r w:rsidRPr="00581AD3">
              <w:rPr>
                <w:rFonts w:asciiTheme="majorHAnsi" w:hAnsiTheme="majorHAnsi" w:cstheme="majorHAnsi"/>
                <w:bCs/>
                <w:noProof/>
                <w:sz w:val="20"/>
                <w:szCs w:val="20"/>
              </w:rPr>
              <w:t>/2024 1:00:00 PM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6/1</w:t>
            </w:r>
            <w:r w:rsidRPr="00581AD3">
              <w:rPr>
                <w:rFonts w:asciiTheme="majorHAnsi" w:hAnsiTheme="majorHAnsi" w:cstheme="majorHAnsi"/>
                <w:bCs/>
                <w:noProof/>
                <w:sz w:val="20"/>
                <w:szCs w:val="20"/>
              </w:rPr>
              <w:t>/2024 12:00:00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7193</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Jill Harkavy-Friedman,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Senior Vice President of Research, American Foundation for Suicide Prevention, Suicide and Violence Prevention in Children and Adolescents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American Foundation for Suicide Prevention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r>
              <w:rPr>
                <w:rtl w:val="0"/>
              </w:rPr>
              <w:t>Local, national, and international leaders present pediatric topics in their area of specialty during this weekly series.</w:t>
            </w: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Describe</w:t>
      </w:r>
      <w:r w:rsidRPr="00581AD3">
        <w:rPr>
          <w:rFonts w:asciiTheme="majorHAnsi" w:hAnsiTheme="majorHAnsi" w:cstheme="majorHAnsi"/>
          <w:sz w:val="20"/>
          <w:szCs w:val="20"/>
        </w:rPr>
        <w:t xml:space="preserve"> a model for understanding suicide.</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List several risk factors and warning signs frequently experienced during a period of increased suicide risk.</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Enumerate at least two interventions that can be used for suicide prevention in clinical practice.</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Enduring Material</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Enduring Material</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RadHoursMax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«RadHoursMax»</w:instrText>
      </w:r>
      <w:r w:rsidRPr="00581AD3">
        <w:rPr>
          <w:rFonts w:ascii="Calibri" w:hAnsi="Calibri"/>
          <w:bCs/>
          <w:iCs/>
          <w:sz w:val="20"/>
          <w:szCs w:val="20"/>
        </w:rPr>
        <w:fldChar w:fldCharType="end"/>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r w:rsidRPr="00581AD3">
        <w:rPr>
          <w:rFonts w:ascii="Calibri" w:hAnsi="Calibri"/>
          <w:sz w:val="20"/>
          <w:szCs w:val="20"/>
        </w:rPr>
        <w:t>Children's Mercy Continuing Medical Education adheres to the ACCME&amp;rsquo;s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All relevant conflicts of interest have been mitigated prior to the commencement of the activity.</w:t>
      </w: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Jill Harkavy-Friedman,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- 02/02/2024</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cp:revision>
  <dcterms:created xsi:type="dcterms:W3CDTF">2024-02-14T20:12:00Z</dcterms:created>
  <dcterms:modified xsi:type="dcterms:W3CDTF">2024-02-14T20:12:00Z</dcterms:modified>
</cp:coreProperties>
</file>