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2024-25 Professor</w:t>
      </w:r>
      <w:r w:rsidRPr="00BB1D75" w:rsidR="00693C14">
        <w:rPr>
          <w:rFonts w:ascii="Arial" w:hAnsi="Arial" w:cs="Arial"/>
          <w:b/>
          <w:bCs/>
          <w:color w:val="005EB8"/>
          <w:sz w:val="36"/>
          <w:szCs w:val="36"/>
        </w:rPr>
        <w:t xml:space="preserve"> Rounds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7/15</w:t>
            </w:r>
            <w:r w:rsidRPr="00B946B1">
              <w:rPr>
                <w:rFonts w:asciiTheme="majorHAnsi" w:hAnsiTheme="majorHAnsi" w:cstheme="majorHAnsi"/>
                <w:bCs/>
                <w:noProof/>
              </w:rPr>
              <w:t>/2024 12:00:00 PM</w:t>
            </w:r>
            <w:r w:rsidRPr="00B946B1">
              <w:rPr>
                <w:rFonts w:asciiTheme="majorHAnsi" w:hAnsiTheme="majorHAnsi" w:cstheme="majorHAnsi"/>
                <w:bCs/>
                <w:noProof/>
              </w:rPr>
              <w:t xml:space="preserve"> - </w:t>
            </w:r>
            <w:r w:rsidRPr="00B946B1">
              <w:rPr>
                <w:rFonts w:asciiTheme="majorHAnsi" w:hAnsiTheme="majorHAnsi" w:cstheme="majorHAnsi"/>
                <w:bCs/>
                <w:noProof/>
              </w:rPr>
              <w:t>7/15</w:t>
            </w:r>
            <w:r w:rsidRPr="00B946B1">
              <w:rPr>
                <w:rFonts w:asciiTheme="majorHAnsi" w:hAnsiTheme="majorHAnsi" w:cstheme="majorHAnsi"/>
                <w:bCs/>
                <w:noProof/>
              </w:rPr>
              <w:t>/2024 1:00:00 PM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7279</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 Online</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on mobile devices.)</w:t>
            </w:r>
          </w:p>
          <w:p>
            <w:pPr>
              <w:bidi w:val="0"/>
              <w:spacing w:after="280" w:afterAutospacing="1"/>
              <w:rPr>
                <w:rtl w:val="0"/>
              </w:rPr>
            </w:pPr>
            <w:r>
              <w:rPr>
                <w:rtl w:val="0"/>
              </w:rPr>
              <w:t>Under guidance of a faculty mentor, second- or third-year residents prepare and present a case with participants engaging in the development of the differential diagnosis, followed by review of the disease process and relevant literature.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Examine</w:t>
      </w:r>
      <w:r w:rsidRPr="00B946B1">
        <w:rPr>
          <w:rFonts w:asciiTheme="majorHAnsi" w:hAnsiTheme="majorHAnsi" w:cstheme="majorHAnsi"/>
        </w:rPr>
        <w:t xml:space="preserve"> interesting cases seen in our hospital.</w:t>
      </w:r>
    </w:p>
    <w:p w:rsidRPr="00B946B1" w:rsidP="006A623D">
      <w:pPr>
        <w:spacing w:line="240" w:lineRule="auto"/>
        <w:rPr>
          <w:rFonts w:asciiTheme="majorHAnsi" w:hAnsiTheme="majorHAnsi" w:cstheme="majorHAnsi"/>
        </w:rPr>
      </w:pPr>
      <w:r w:rsidRPr="00B946B1">
        <w:rPr>
          <w:rFonts w:asciiTheme="majorHAnsi" w:hAnsiTheme="majorHAnsi" w:cstheme="majorHAnsi"/>
        </w:rPr>
        <w:t>2 Develop differential diagnosis based on history, review of symptoms, and available labs.</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Discuss disease/condition, including pathophysiology, treatment options, and potential health inequities.</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 xml:space="preserve">This activty has been planned and implemented in accordance with the accreditation requirements and policies of the Missouri State Medical Association through the joint providership of The Children's Mercy Hospital and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The Children's Mercy Hospital is accredited by the Missouri State Medical Association 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Children's Mercy Hospital is accredited by the Missouri State Medical Association 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Children's Mercy Hospital is accredited by the Missouri State Medical Association 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18716861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274395435"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402674938"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Etzenhouser, MD, FPPE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Killough,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Reed,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B Hathaway,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Bratcher,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Catharine Kral,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Gavin,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C Gwazdacz,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- 08/11/2023</w:t>
            </w:r>
          </w:p>
        </w:tc>
      </w:tr>
    </w:tbl>
    <w:p w:rsidR="00993B4D" w:rsidRPr="00B946B1">
      <w:pPr>
        <w:bidi w:val="0"/>
        <w:spacing w:after="280" w:afterAutospacing="1"/>
        <w:rPr>
          <w:rFonts w:asciiTheme="majorHAnsi" w:hAnsiTheme="majorHAnsi" w:cstheme="majorHAnsi"/>
          <w:iCs/>
        </w:rPr>
      </w:pPr>
    </w:p>
    <w:sectPr w:rsidSect="004359FA">
      <w:headerReference w:type="default" r:id="rId13"/>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inline distT="0" distB="0" distL="0" distR="0">
          <wp:extent cx="2000250" cy="421970"/>
          <wp:effectExtent l="0" t="0" r="0" b="0"/>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2054810" cy="433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2024-03-06T20:44:00Z</dcterms:created>
  <dcterms:modified xsi:type="dcterms:W3CDTF">2024-03-21T17:28:00Z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