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1/9</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1/9</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7607</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"https://cmkc.tv/3RhvxgW"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specialty during this weekly series.</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Enhance</w:t>
      </w:r>
      <w:r w:rsidRPr="00B946B1">
        <w:rPr>
          <w:rFonts w:asciiTheme="majorHAnsi" w:hAnsiTheme="majorHAnsi" w:cstheme="majorHAnsi"/>
        </w:rPr>
        <w:t xml:space="preserve"> competence and expand expertise in pediatric surgical conditions prevalent in our geographical area and nationally.</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Develop strategies to enhance communication and collaboration among  interdisciplinary team members addressing pediatric surgical conditions.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62655628"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