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GROL 4</w:t>
      </w:r>
      <w:r w:rsidRPr="00BB1D75" w:rsidR="00693C14">
        <w:rPr>
          <w:rFonts w:ascii="Arial" w:hAnsi="Arial" w:cs="Arial"/>
          <w:b/>
          <w:bCs/>
          <w:color w:val="005EB8"/>
          <w:sz w:val="36"/>
          <w:szCs w:val="36"/>
        </w:rPr>
        <w:t>/10/2025 - Surgery GR</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4/10</w:t>
            </w:r>
            <w:r w:rsidRPr="00B946B1">
              <w:rPr>
                <w:rFonts w:asciiTheme="majorHAnsi" w:hAnsiTheme="majorHAnsi" w:cstheme="majorHAnsi"/>
                <w:bCs/>
                <w:noProof/>
              </w:rPr>
              <w:t>/2025 1:00:00 PM</w:t>
            </w:r>
            <w:r w:rsidRPr="00B946B1">
              <w:rPr>
                <w:rFonts w:asciiTheme="majorHAnsi" w:hAnsiTheme="majorHAnsi" w:cstheme="majorHAnsi"/>
                <w:bCs/>
                <w:noProof/>
              </w:rPr>
              <w:t xml:space="preserve"> - </w:t>
            </w:r>
            <w:r w:rsidRPr="00B946B1">
              <w:rPr>
                <w:rFonts w:asciiTheme="majorHAnsi" w:hAnsiTheme="majorHAnsi" w:cstheme="majorHAnsi"/>
                <w:bCs/>
                <w:noProof/>
              </w:rPr>
              <w:t>7/1</w:t>
            </w:r>
            <w:r w:rsidRPr="00B946B1">
              <w:rPr>
                <w:rFonts w:asciiTheme="majorHAnsi" w:hAnsiTheme="majorHAnsi" w:cstheme="majorHAnsi"/>
                <w:bCs/>
                <w:noProof/>
              </w:rPr>
              <w:t>/2025 12:00:00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8108</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Online</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Steven L Lee, MD, MBA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Division Chief, Pediatric General and Thoracic Surgery and Professor of Surgery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Seattle Children's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r>
              <w:rPr>
                <w:rtl w:val="0"/>
              </w:rPr>
              <w:t>Local, national, and international leaders present pediatric topics in their area of specialty during this weekly series.</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treatment options for uncomplicated and complicated appendicitis.</w:t>
      </w:r>
    </w:p>
    <w:p w:rsidRPr="00B946B1" w:rsidP="006A623D">
      <w:pPr>
        <w:spacing w:line="240" w:lineRule="auto"/>
        <w:rPr>
          <w:rFonts w:asciiTheme="majorHAnsi" w:hAnsiTheme="majorHAnsi" w:cstheme="majorHAnsi"/>
        </w:rPr>
      </w:pPr>
      <w:r w:rsidRPr="00B946B1">
        <w:rPr>
          <w:rFonts w:asciiTheme="majorHAnsi" w:hAnsiTheme="majorHAnsi" w:cstheme="majorHAnsi"/>
        </w:rPr>
        <w:t>2 Discuss indications for nonoperative management for uncomplicated and complicated appendicitis</w:t>
      </w:r>
    </w:p>
    <w:p w:rsidRPr="00B946B1" w:rsidP="006A623D">
      <w:pPr>
        <w:spacing w:line="240" w:lineRule="auto"/>
        <w:rPr>
          <w:rFonts w:asciiTheme="majorHAnsi" w:hAnsiTheme="majorHAnsi" w:cstheme="majorHAnsi"/>
        </w:rPr>
      </w:pPr>
      <w:r w:rsidRPr="00B946B1">
        <w:rPr>
          <w:rFonts w:asciiTheme="majorHAnsi" w:hAnsiTheme="majorHAnsi" w:cstheme="majorHAnsi"/>
        </w:rPr>
        <w:t>3 Discuss optimal timing for surgical intervention.</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4 Consider and distinguish patient preferences and barriers in the management of appendicitis.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This activ</w:instrText>
      </w:r>
      <w:r w:rsidR="001B042F">
        <w:rPr>
          <w:rFonts w:asciiTheme="majorHAnsi" w:hAnsiTheme="majorHAnsi" w:cstheme="majorHAnsi"/>
          <w:bCs/>
          <w:iCs/>
          <w:color w:val="000000" w:themeColor="text1"/>
        </w:rPr>
        <w:instrText>i</w:instrText>
      </w:r>
      <w:r w:rsidRPr="009F213A">
        <w:rPr>
          <w:rFonts w:asciiTheme="majorHAnsi" w:hAnsiTheme="majorHAnsi" w:cstheme="majorHAnsi"/>
          <w:bCs/>
          <w:iCs/>
          <w:color w:val="000000" w:themeColor="text1"/>
        </w:rPr>
        <w:instrText xml:space="preserve">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through the joint providership of</w:instrText>
      </w:r>
      <w:r w:rsidR="00685C45">
        <w:rPr>
          <w:rFonts w:asciiTheme="majorHAnsi" w:hAnsiTheme="majorHAnsi" w:cstheme="majorHAnsi"/>
          <w:bCs/>
          <w:iCs/>
          <w:color w:val="000000" w:themeColor="text1"/>
        </w:rPr>
        <w:instrText xml:space="preserve"> The Children's Mercy Hospital and</w:instrText>
      </w:r>
      <w:r w:rsidRPr="009F213A">
        <w:rPr>
          <w:rFonts w:asciiTheme="majorHAnsi" w:hAnsiTheme="majorHAnsi" w:cstheme="majorHAnsi"/>
          <w:bCs/>
          <w:iCs/>
          <w:color w:val="000000" w:themeColor="text1"/>
        </w:rPr>
        <w:instrText xml:space="preserve">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Enduring Material</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Enduring Material</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L Lee,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- 03/06/2025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5</cp:revision>
  <dcterms:created xsi:type="dcterms:W3CDTF">2024-11-06T18:54:00Z</dcterms:created>
  <dcterms:modified xsi:type="dcterms:W3CDTF">2025-03-13T01:31:00Z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