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Transition to</w:t>
      </w:r>
      <w:r w:rsidRPr="00BB1D75" w:rsidR="00693C14">
        <w:rPr>
          <w:rFonts w:ascii="Arial" w:hAnsi="Arial" w:cs="Arial"/>
          <w:b/>
          <w:bCs/>
          <w:color w:val="005EB8"/>
          <w:sz w:val="36"/>
          <w:szCs w:val="36"/>
        </w:rPr>
        <w:t xml:space="preserve"> Adulthood Quarterly CEU Series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11/25</w:t>
            </w:r>
            <w:r w:rsidRPr="00B946B1">
              <w:rPr>
                <w:rFonts w:asciiTheme="majorHAnsi" w:hAnsiTheme="majorHAnsi" w:cstheme="majorHAnsi"/>
                <w:bCs/>
                <w:noProof/>
              </w:rPr>
              <w:t>/2025 12:00:00 PM</w:t>
            </w:r>
            <w:r w:rsidRPr="00B946B1">
              <w:rPr>
                <w:rFonts w:asciiTheme="majorHAnsi" w:hAnsiTheme="majorHAnsi" w:cstheme="majorHAnsi"/>
                <w:bCs/>
                <w:noProof/>
              </w:rPr>
              <w:t xml:space="preserve"> - </w:t>
            </w:r>
            <w:r w:rsidRPr="00B946B1">
              <w:rPr>
                <w:rFonts w:asciiTheme="majorHAnsi" w:hAnsiTheme="majorHAnsi" w:cstheme="majorHAnsi"/>
                <w:bCs/>
                <w:noProof/>
              </w:rPr>
              <w:t>11/25</w:t>
            </w:r>
            <w:r w:rsidRPr="00B946B1">
              <w:rPr>
                <w:rFonts w:asciiTheme="majorHAnsi" w:hAnsiTheme="majorHAnsi" w:cstheme="majorHAnsi"/>
                <w:bCs/>
                <w:noProof/>
              </w:rPr>
              <w:t>/2025 1:00:00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8500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There is an organizational gap regarding Transition to Adulthood topics/competencies which can greatly impact patient and caregivers' ability to successfully transition to an adult health care setting. These topics include but are not limited to: care coordination/medical complexity, financial planning supports, guardianship/supported decision making, employment/job placement, school transition planning.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Explain</w:t>
      </w:r>
      <w:r w:rsidRPr="00B946B1">
        <w:rPr>
          <w:rFonts w:asciiTheme="majorHAnsi" w:hAnsiTheme="majorHAnsi" w:cstheme="majorHAnsi"/>
        </w:rPr>
        <w:t xml:space="preserve"> the basic principals of Health Care Transition as evidenced by a short answer written reflection or quiz. </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1 Explain the basic principals of Health Care Transition as evidenced by a short answer written reflection or quiz. </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2 Describe the steps in Supporting Guardianship/Medical Decision Making for AYA with medical complexity as demonstrated through case studies. </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2 Describe the steps in Supporting Guardianship/Medical Decision Making for AYA with medical complexity as demonstrated through case studies. </w:t>
      </w:r>
    </w:p>
    <w:p w:rsidRPr="00B946B1" w:rsidP="006A623D">
      <w:pPr>
        <w:spacing w:line="240" w:lineRule="auto"/>
        <w:rPr>
          <w:rFonts w:asciiTheme="majorHAnsi" w:hAnsiTheme="majorHAnsi" w:cstheme="majorHAnsi"/>
        </w:rPr>
      </w:pPr>
      <w:r w:rsidRPr="00B946B1">
        <w:rPr>
          <w:rFonts w:asciiTheme="majorHAnsi" w:hAnsiTheme="majorHAnsi" w:cstheme="majorHAnsi"/>
        </w:rPr>
        <w:t xml:space="preserve">3 Define potential mental health needs and barriers of the AYA patient population as evidenced by a knowledge quiz check. </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 xml:space="preserve">3 Define potential mental health needs and barriers of the AYA patient population as evidenced by a knowledge quiz check. </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1.00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1.00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1.00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Shabnam Arsiwala,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 Shores,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