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Pediatric</w:t>
      </w:r>
      <w:r w:rsidRPr="00BB1D75" w:rsidR="00693C14">
        <w:rPr>
          <w:rFonts w:ascii="Arial" w:hAnsi="Arial" w:cs="Arial"/>
          <w:b/>
          <w:bCs/>
          <w:color w:val="005EB8"/>
          <w:sz w:val="36"/>
          <w:szCs w:val="36"/>
        </w:rPr>
        <w:t xml:space="preserve"> Grand Rounds - You Can Observe a Lot Just By Lookin’: 30 Years of Discovery in Pediatric Myalgic Encephalomyelitis/Chronic Fatigue Syndrome</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3/19</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3/19</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5E5A19">
              <w:rPr>
                <w:rFonts w:asciiTheme="majorHAnsi" w:hAnsiTheme="majorHAnsi" w:cstheme="majorHAnsi"/>
                <w:b/>
                <w:noProof/>
                <w:color w:val="005EB8"/>
              </w:rPr>
              <w:t>8705</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r w:rsidRPr="00B946B1">
              <w:rPr>
                <w:rFonts w:asciiTheme="majorHAnsi" w:hAnsiTheme="majorHAnsi" w:cstheme="majorHAnsi"/>
                <w:bCs/>
                <w:noProof/>
              </w:rPr>
              <w:t>Adele Hall</w:t>
            </w:r>
            <w:r w:rsidRPr="00B946B1">
              <w:rPr>
                <w:rFonts w:asciiTheme="majorHAnsi" w:hAnsiTheme="majorHAnsi" w:cstheme="majorHAnsi"/>
                <w:bCs/>
                <w:noProof/>
              </w:rPr>
              <w:t xml:space="preserve"> - Auditorium (West Lobby)</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Peter Rowe,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Director, Chronic Fatigue Clinic, Johns Hopkins Children’s Center; Sunshine Natural Wellbeing Foundation Professor of Chronic Fatigue and Related Disorders, Department of Pediatrics, Johns Hopkins University School of Medicine; Professor of Pediatrics, Johns Hopkins University School of Medicine.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Johns Hopkins University School of Medicine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Click here to join the presentation from your laptop or computer. (link does not work from mobile devices)</w:t>
            </w:r>
          </w:p>
          <w:p>
            <w:pPr>
              <w:bidi w:val="0"/>
              <w:spacing w:after="280" w:afterAutospacing="1"/>
              <w:rPr>
                <w:rtl w:val="0"/>
              </w:rPr>
            </w:pPr>
            <w:r>
              <w:rPr>
                <w:rtl w:val="0"/>
              </w:rPr>
              <w:t>Local and national leaders present pediatric topics in their area of specialty during this monthly series. </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Describe</w:t>
      </w:r>
      <w:r w:rsidRPr="00B946B1">
        <w:rPr>
          <w:rFonts w:asciiTheme="majorHAnsi" w:hAnsiTheme="majorHAnsi" w:cstheme="majorHAnsi"/>
        </w:rPr>
        <w:t xml:space="preserve"> the case definition of Myalgic Encephalomyelitis/Chronic Fatigue Syndrome according to the 2015 Institute of Medicine case definition.</w:t>
      </w:r>
    </w:p>
    <w:p w:rsidRPr="00B946B1" w:rsidP="006A623D">
      <w:pPr>
        <w:spacing w:line="240" w:lineRule="auto"/>
        <w:rPr>
          <w:rFonts w:asciiTheme="majorHAnsi" w:hAnsiTheme="majorHAnsi" w:cstheme="majorHAnsi"/>
        </w:rPr>
      </w:pPr>
      <w:r w:rsidRPr="00B946B1">
        <w:rPr>
          <w:rFonts w:asciiTheme="majorHAnsi" w:hAnsiTheme="majorHAnsi" w:cstheme="majorHAnsi"/>
        </w:rPr>
        <w:t>1 Maintain and advance knowledge and skills related to pediatric conditions seen in our region.</w:t>
      </w:r>
    </w:p>
    <w:p w:rsidRPr="00B946B1" w:rsidP="006A623D">
      <w:pPr>
        <w:spacing w:line="240" w:lineRule="auto"/>
        <w:rPr>
          <w:rFonts w:asciiTheme="majorHAnsi" w:hAnsiTheme="majorHAnsi" w:cstheme="majorHAnsi"/>
        </w:rPr>
      </w:pPr>
      <w:r w:rsidRPr="00B946B1">
        <w:rPr>
          <w:rFonts w:asciiTheme="majorHAnsi" w:hAnsiTheme="majorHAnsi" w:cstheme="majorHAnsi"/>
        </w:rPr>
        <w:t>2 Increase collaboration across professions of the healthcare team.</w:t>
      </w:r>
    </w:p>
    <w:p w:rsidRPr="00B946B1" w:rsidP="006A623D">
      <w:pPr>
        <w:spacing w:line="240" w:lineRule="auto"/>
        <w:rPr>
          <w:rFonts w:asciiTheme="majorHAnsi" w:hAnsiTheme="majorHAnsi" w:cstheme="majorHAnsi"/>
        </w:rPr>
      </w:pPr>
      <w:r w:rsidRPr="00B946B1">
        <w:rPr>
          <w:rFonts w:asciiTheme="majorHAnsi" w:hAnsiTheme="majorHAnsi" w:cstheme="majorHAnsi"/>
        </w:rPr>
        <w:t>2 Describe the epidemiology and impact of pediatric Myalgic Encephalomyelitis/Chronic Fatigue Syndrome.</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Describe the modern management of Myalgic Encephalomyelitis/Chronic Fatigue Syndrome in light of research advances over the past 3 decades.</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This activ</w:instrText>
      </w:r>
      <w:r w:rsidR="001B042F">
        <w:rPr>
          <w:rFonts w:asciiTheme="majorHAnsi" w:hAnsiTheme="majorHAnsi" w:cstheme="majorHAnsi"/>
          <w:bCs/>
          <w:iCs/>
          <w:color w:val="000000" w:themeColor="text1"/>
        </w:rPr>
        <w:instrText>i</w:instrText>
      </w:r>
      <w:r w:rsidRPr="009F213A">
        <w:rPr>
          <w:rFonts w:asciiTheme="majorHAnsi" w:hAnsiTheme="majorHAnsi" w:cstheme="majorHAnsi"/>
          <w:bCs/>
          <w:iCs/>
          <w:color w:val="000000" w:themeColor="text1"/>
        </w:rPr>
        <w:instrText xml:space="preserve">ty has been planned and implemented in accordance with the accreditation requirements and policies of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through the joint providership of</w:instrText>
      </w:r>
      <w:r w:rsidR="00685C45">
        <w:rPr>
          <w:rFonts w:asciiTheme="majorHAnsi" w:hAnsiTheme="majorHAnsi" w:cstheme="majorHAnsi"/>
          <w:bCs/>
          <w:iCs/>
          <w:color w:val="000000" w:themeColor="text1"/>
        </w:rPr>
        <w:instrText xml:space="preserve"> The Children's Mercy Hospital and</w:instrText>
      </w:r>
      <w:r w:rsidRPr="009F213A">
        <w:rPr>
          <w:rFonts w:asciiTheme="majorHAnsi" w:hAnsiTheme="majorHAnsi" w:cstheme="majorHAnsi"/>
          <w:bCs/>
          <w:iCs/>
          <w:color w:val="000000" w:themeColor="text1"/>
        </w:rPr>
        <w:instrText xml:space="preserve">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4754FD">
        <w:rPr>
          <w:rFonts w:asciiTheme="majorHAnsi" w:hAnsiTheme="majorHAnsi" w:cstheme="majorHAnsi"/>
          <w:bCs/>
          <w:iCs/>
          <w:color w:val="000000" w:themeColor="text1"/>
        </w:rPr>
        <w:instrText xml:space="preserve">Accreditation Council for Continuing Medical Education (ACCME) </w:instrText>
      </w:r>
      <w:r w:rsidRPr="009F213A">
        <w:rPr>
          <w:rFonts w:asciiTheme="majorHAnsi" w:hAnsiTheme="majorHAnsi" w:cstheme="majorHAnsi"/>
          <w:bCs/>
          <w:iCs/>
          <w:color w:val="000000" w:themeColor="text1"/>
        </w:rPr>
        <w:instrText>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4754FD">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4754FD">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1.00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837428">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p>
    <w:p w:rsidR="00833E38" w:rsidP="00833E38">
      <w:pPr>
        <w:rPr>
          <w:rFonts w:asciiTheme="majorHAnsi" w:hAnsiTheme="majorHAnsi" w:cstheme="majorHAnsi"/>
          <w:b/>
          <w:iCs/>
        </w:rPr>
      </w:pPr>
      <w:r>
        <w:rPr>
          <w:rFonts w:asciiTheme="majorHAnsi" w:hAnsiTheme="majorHAnsi" w:cstheme="majorHAnsi"/>
          <w:b/>
          <w:iCs/>
        </w:rPr>
        <w:t>American Board of Anesthesiology</w:t>
      </w:r>
      <w:r w:rsidR="00615379">
        <w:rPr>
          <w:rFonts w:asciiTheme="majorHAnsi" w:hAnsiTheme="majorHAnsi" w:cstheme="majorHAnsi"/>
          <w:b/>
          <w:iCs/>
        </w:rPr>
        <w:t xml:space="preserve"> (ABA)</w:t>
      </w:r>
    </w:p>
    <w:p w:rsidR="00833E38" w:rsidP="00833E38">
      <w:pPr>
        <w:rPr>
          <w:rFonts w:asciiTheme="majorHAnsi" w:hAnsiTheme="majorHAnsi" w:cstheme="majorHAnsi"/>
          <w:b/>
          <w:iCs/>
        </w:rPr>
      </w:pPr>
      <w:r>
        <w:rPr>
          <w:rFonts w:asciiTheme="majorHAnsi" w:hAnsiTheme="majorHAnsi" w:cstheme="majorHAnsi"/>
          <w:bCs/>
          <w:iCs/>
          <w:noProof/>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44038798"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t xml:space="preserve"> </w:t>
      </w:r>
      <w:r>
        <w:rPr>
          <w:rFonts w:asciiTheme="majorHAnsi" w:hAnsiTheme="majorHAnsi" w:cstheme="majorHAnsi"/>
          <w:bCs/>
          <w:iCs/>
        </w:rPr>
        <w:t>This activity contributes to the CME component of the American Board of Anesthesiology's redesigned Maintenance of Certification in Anesth</w:t>
      </w:r>
      <w:r w:rsidR="00837428">
        <w:rPr>
          <w:rFonts w:asciiTheme="majorHAnsi" w:hAnsiTheme="majorHAnsi" w:cstheme="majorHAnsi"/>
          <w:bCs/>
          <w:iCs/>
        </w:rPr>
        <w:t>e</w:t>
      </w:r>
      <w:r>
        <w:rPr>
          <w:rFonts w:asciiTheme="majorHAnsi" w:hAnsiTheme="majorHAnsi" w:cstheme="majorHAnsi"/>
          <w:bCs/>
          <w:iCs/>
        </w:rPr>
        <w:t>siology™ (MOCA®) program, known as MOCA 2.0® Please consult the ABA website, www.theABA.org, for a list of all MOCA 2.0 requirements.</w:t>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w:instrText>
      </w:r>
      <w:r w:rsidR="009A6D50">
        <w:rPr>
          <w:rFonts w:asciiTheme="majorHAnsi" w:hAnsiTheme="majorHAnsi" w:cstheme="majorHAnsi"/>
        </w:rPr>
        <w:instrText>e</w:instrText>
      </w:r>
      <w:r>
        <w:rPr>
          <w:rFonts w:asciiTheme="majorHAnsi" w:hAnsiTheme="majorHAnsi" w:cstheme="majorHAnsi"/>
        </w:rPr>
        <w:instrText>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507425819"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1.00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009F3F49">
        <w:rPr>
          <w:rFonts w:asciiTheme="majorHAnsi" w:hAnsiTheme="majorHAnsi" w:cstheme="majorHAnsi"/>
          <w:noProof/>
        </w:rPr>
        <w:instrText>1.00</w:instrText>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2824A3"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t>American Board of Pediatrics Maintenance of Certification Part 2</w:t>
      </w:r>
    </w:p>
    <w:p w:rsidRPr="00B946B1"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1138145045"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t xml:space="preserve">Successful completion of this CME activity, which includes participation in the evaluation component, enables the learner to earn up to </w:t>
      </w:r>
      <w:r w:rsidR="009F3F49">
        <w:rPr>
          <w:rFonts w:asciiTheme="majorHAnsi" w:hAnsiTheme="majorHAnsi" w:cstheme="majorHAnsi"/>
          <w:noProof/>
        </w:rPr>
        <w:t>1.00</w:t>
      </w:r>
      <w:r w:rsidRPr="00B946B1">
        <w:rPr>
          <w:rFonts w:asciiTheme="majorHAnsi" w:hAnsiTheme="majorHAnsi" w:cstheme="majorHAnsi"/>
          <w:noProof/>
        </w:rPr>
        <w:t xml:space="preserve"> MOC points in the American Board of Pediatrics' (ABP) Maintenance of Certification (MOC) program. It is the CME provider's responsibility to submit participant completion information to ACCME for the purpose of granting ABP MOC credit.</w:t>
      </w:r>
      <w:r w:rsidRPr="00B946B1">
        <w:rPr>
          <w:rFonts w:asciiTheme="majorHAnsi" w:hAnsiTheme="majorHAnsi" w:cstheme="majorHAnsi"/>
          <w:b/>
          <w:iCs/>
        </w:rPr>
        <w:fldChar w:fldCharType="end"/>
      </w:r>
      <w:r w:rsidR="002824A3">
        <w:rPr>
          <w:rFonts w:asciiTheme="majorHAnsi" w:hAnsiTheme="majorHAnsi" w:cstheme="majorHAnsi"/>
          <w:b/>
          <w:iCs/>
        </w:rPr>
        <w:fldChar w:fldCharType="begin"/>
      </w:r>
      <w:r w:rsidR="002824A3">
        <w:rPr>
          <w:rFonts w:asciiTheme="majorHAnsi" w:hAnsiTheme="majorHAnsi" w:cstheme="majorHAnsi"/>
          <w:b/>
          <w:iCs/>
        </w:rPr>
        <w:instrText xml:space="preserve"> IF </w:instrText>
      </w:r>
      <w:r w:rsidR="002824A3">
        <w:rPr>
          <w:rFonts w:asciiTheme="majorHAnsi" w:hAnsiTheme="majorHAnsi" w:cstheme="majorHAnsi"/>
          <w:b/>
          <w:iCs/>
          <w:noProof/>
        </w:rPr>
        <w:instrText>0.00</w:instrText>
      </w:r>
      <w:r w:rsidR="002824A3">
        <w:rPr>
          <w:rFonts w:asciiTheme="majorHAnsi" w:hAnsiTheme="majorHAnsi" w:cstheme="majorHAnsi"/>
          <w:b/>
          <w:iCs/>
        </w:rPr>
        <w:instrText xml:space="preserve"> </w:instrText>
      </w:r>
      <w:r w:rsidR="002824A3">
        <w:rPr>
          <w:rFonts w:asciiTheme="majorHAnsi" w:hAnsiTheme="majorHAnsi" w:cstheme="majorHAnsi"/>
          <w:b/>
          <w:iCs/>
        </w:rPr>
        <w:instrText>&gt;</w:instrText>
      </w:r>
      <w:r w:rsidR="002A1124">
        <w:rPr>
          <w:rFonts w:asciiTheme="majorHAnsi" w:hAnsiTheme="majorHAnsi" w:cstheme="majorHAnsi"/>
          <w:b/>
          <w:iCs/>
        </w:rPr>
        <w:instrText xml:space="preserve"> </w:instrText>
      </w:r>
      <w:r w:rsidR="002824A3">
        <w:rPr>
          <w:rFonts w:asciiTheme="majorHAnsi" w:hAnsiTheme="majorHAnsi" w:cstheme="majorHAnsi"/>
          <w:b/>
          <w:iCs/>
        </w:rPr>
        <w:instrText>0 "</w:instrText>
      </w:r>
    </w:p>
    <w:p w:rsidR="002824A3" w:rsidP="002824A3">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DF70D7" w:rsidP="00DF70D7">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1552" behindDoc="1" locked="0" layoutInCell="1" allowOverlap="1">
            <wp:simplePos x="0" y="0"/>
            <wp:positionH relativeFrom="column">
              <wp:posOffset>13335</wp:posOffset>
            </wp:positionH>
            <wp:positionV relativeFrom="paragraph">
              <wp:posOffset>76835</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F70D7" w:rsidP="00DF70D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582DC9"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2576"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sidR="00DF70D7">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sidR="00DF70D7">
        <w:rPr>
          <w:rFonts w:asciiTheme="majorHAnsi" w:hAnsiTheme="majorHAnsi" w:cstheme="majorHAnsi"/>
          <w:b/>
          <w:iCs/>
        </w:rPr>
        <w:fldChar w:fldCharType="separate"/>
      </w:r>
      <w:r w:rsidR="00DF70D7">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582DC9" w:rsidP="00582DC9">
      <w:pPr>
        <w:spacing w:before="240" w:after="120"/>
        <w:rPr>
          <w:rFonts w:asciiTheme="majorHAnsi" w:hAnsiTheme="majorHAnsi" w:cstheme="majorHAnsi"/>
          <w:b/>
          <w:iCs/>
        </w:rPr>
      </w:pPr>
      <w:r>
        <w:rPr>
          <w:rFonts w:asciiTheme="majorHAnsi" w:hAnsiTheme="majorHAnsi" w:cstheme="majorHAnsi"/>
          <w:b/>
          <w:iCs/>
        </w:rPr>
        <w:instrText xml:space="preserve"> American Board of Physical Medicine and Rehabilitation (ABPMR)</w:instrText>
      </w:r>
    </w:p>
    <w:p w:rsidR="006F17E7" w:rsidP="00582DC9">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57150</wp:posOffset>
            </wp:positionV>
            <wp:extent cx="470323" cy="502920"/>
            <wp:effectExtent l="0" t="0" r="6350" b="0"/>
            <wp:wrapTight wrapText="bothSides">
              <wp:wrapPolygon>
                <wp:start x="0" y="0"/>
                <wp:lineTo x="0" y="20455"/>
                <wp:lineTo x="21016" y="20455"/>
                <wp:lineTo x="21016" y="0"/>
                <wp:lineTo x="0" y="0"/>
              </wp:wrapPolygon>
            </wp:wrapTight>
            <wp:docPr id="11" name="Picture 11"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Improving Health and Health Care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w:instrText>
      </w:r>
      <w:r w:rsidR="0025067B">
        <w:rPr>
          <w:rFonts w:asciiTheme="majorHAnsi" w:hAnsiTheme="majorHAnsi" w:cstheme="majorHAnsi"/>
          <w:b/>
          <w:iCs/>
        </w:rPr>
        <w:instrText xml:space="preserve"> </w:instrText>
      </w:r>
      <w:r>
        <w:rPr>
          <w:rFonts w:asciiTheme="majorHAnsi" w:hAnsiTheme="majorHAnsi" w:cstheme="majorHAnsi"/>
          <w:b/>
          <w:iCs/>
        </w:rPr>
        <w:instrText>0 "</w:instrText>
      </w:r>
    </w:p>
    <w:p w:rsidR="006F17E7" w:rsidP="006F17E7">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C67746"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104775</wp:posOffset>
            </wp:positionV>
            <wp:extent cx="470323" cy="502920"/>
            <wp:effectExtent l="0" t="0" r="6350" b="0"/>
            <wp:wrapTight wrapText="bothSides">
              <wp:wrapPolygon>
                <wp:start x="0" y="0"/>
                <wp:lineTo x="0" y="20455"/>
                <wp:lineTo x="21016" y="20455"/>
                <wp:lineTo x="21016" y="0"/>
                <wp:lineTo x="0" y="0"/>
              </wp:wrapPolygon>
            </wp:wrapTight>
            <wp:docPr id="12" name="Picture 12"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p>
    <w:p w:rsidR="00615379" w:rsidP="000D1A06">
      <w:pPr>
        <w:spacing w:before="240" w:after="120"/>
        <w:rPr>
          <w:rFonts w:asciiTheme="majorHAnsi" w:hAnsiTheme="majorHAnsi" w:cstheme="majorHAnsi"/>
          <w:b/>
          <w:bCs/>
        </w:rPr>
      </w:pP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7456"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1488402653"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8480"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0.00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r w:rsidR="00615379">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1.00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This educational activity has been awarded </w:instrText>
      </w:r>
      <w:r>
        <w:rPr>
          <w:rFonts w:asciiTheme="majorHAnsi" w:hAnsiTheme="majorHAnsi" w:cstheme="majorHAnsi"/>
          <w:bCs/>
          <w:iCs/>
          <w:noProof/>
        </w:rPr>
        <w:instrText>1.00</w:instrText>
      </w:r>
      <w:r>
        <w:rPr>
          <w:rFonts w:asciiTheme="majorHAnsi" w:hAnsiTheme="majorHAnsi" w:cstheme="majorHAnsi"/>
          <w:bCs/>
          <w:iCs/>
        </w:rPr>
        <w:instrText xml:space="preserve"> nursing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8138F7">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8138F7">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p>
    <w:p w:rsidR="00DE4578" w:rsidP="00833E38">
      <w:pPr>
        <w:spacing w:before="240" w:after="120"/>
        <w:rPr>
          <w:rFonts w:asciiTheme="majorHAnsi" w:hAnsiTheme="majorHAnsi" w:cstheme="majorHAnsi"/>
          <w:b/>
          <w:iCs/>
        </w:rPr>
      </w:pPr>
      <w:r>
        <w:rPr>
          <w:rFonts w:asciiTheme="majorHAnsi" w:hAnsiTheme="majorHAnsi" w:cstheme="majorHAnsi"/>
          <w:b/>
          <w:iCs/>
        </w:rPr>
        <w:t>Nursing Contact Hours</w:t>
      </w:r>
    </w:p>
    <w:p w:rsidR="000A6A32" w:rsidP="00833E38">
      <w:pPr>
        <w:spacing w:before="240" w:after="120"/>
        <w:rPr>
          <w:rFonts w:asciiTheme="majorHAnsi" w:hAnsiTheme="majorHAnsi" w:cstheme="majorHAnsi"/>
          <w:bCs/>
          <w:iCs/>
        </w:rPr>
      </w:pPr>
      <w:r>
        <w:rPr>
          <w:rFonts w:asciiTheme="majorHAnsi" w:hAnsiTheme="majorHAnsi" w:cstheme="majorHAnsi"/>
          <w:bCs/>
          <w:iCs/>
        </w:rPr>
        <w:t xml:space="preserve">This educational activity has been awarded </w:t>
      </w:r>
      <w:r>
        <w:rPr>
          <w:rFonts w:asciiTheme="majorHAnsi" w:hAnsiTheme="majorHAnsi" w:cstheme="majorHAnsi"/>
          <w:bCs/>
          <w:iCs/>
          <w:noProof/>
        </w:rPr>
        <w:t>1.00</w:t>
      </w:r>
      <w:r>
        <w:rPr>
          <w:rFonts w:asciiTheme="majorHAnsi" w:hAnsiTheme="majorHAnsi" w:cstheme="majorHAnsi"/>
          <w:bCs/>
          <w:iCs/>
        </w:rPr>
        <w:t xml:space="preserve"> nursing contact hours.</w:t>
      </w:r>
    </w:p>
    <w:p w:rsidP="00833E38">
      <w:pPr>
        <w:spacing w:before="240" w:after="120"/>
        <w:rPr>
          <w:rFonts w:asciiTheme="majorHAnsi" w:hAnsiTheme="majorHAnsi" w:cstheme="majorHAnsi"/>
          <w:b/>
          <w:iCs/>
        </w:rPr>
      </w:pPr>
      <w:r>
        <w:rPr>
          <w:rFonts w:asciiTheme="majorHAnsi" w:hAnsiTheme="majorHAnsi" w:cstheme="majorHAnsi"/>
          <w:bCs/>
          <w:iCs/>
        </w:rPr>
        <w:t xml:space="preserve">Children's Mercy Kansas City is approved as a provider of nursing continuing professional development by </w:t>
      </w:r>
      <w:r w:rsidR="008138F7">
        <w:rPr>
          <w:rFonts w:asciiTheme="majorHAnsi" w:hAnsiTheme="majorHAnsi" w:cstheme="majorHAnsi"/>
          <w:bCs/>
          <w:iCs/>
        </w:rPr>
        <w:t>VTL Center for Professional Development</w:t>
      </w:r>
      <w:r>
        <w:rPr>
          <w:rFonts w:asciiTheme="majorHAnsi" w:hAnsiTheme="majorHAnsi" w:cstheme="majorHAnsi"/>
          <w:bCs/>
          <w:iCs/>
        </w:rPr>
        <w:t xml:space="preserve">, an accredited </w:t>
      </w:r>
      <w:r w:rsidR="008138F7">
        <w:rPr>
          <w:rFonts w:asciiTheme="majorHAnsi" w:hAnsiTheme="majorHAnsi" w:cstheme="majorHAnsi"/>
          <w:bCs/>
          <w:iCs/>
        </w:rPr>
        <w:t>approver</w:t>
      </w:r>
      <w:r>
        <w:rPr>
          <w:rFonts w:asciiTheme="majorHAnsi" w:hAnsiTheme="majorHAnsi" w:cstheme="majorHAnsi"/>
          <w:bCs/>
          <w:iCs/>
        </w:rPr>
        <w:t xml:space="preserve"> by the American Nurses Credntialing Center's Commission on Accreditation.</w:t>
      </w:r>
      <w:r>
        <w:rPr>
          <w:rFonts w:asciiTheme="majorHAnsi" w:hAnsiTheme="majorHAnsi" w:cstheme="majorHAnsi"/>
          <w:b/>
          <w:iCs/>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25067B">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25067B">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J Al Muhaisen, MBBS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Blasi,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Elrod, DNP,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L Hill,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Rose A. Mettlen,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Mick, MSN, MEd, NPD-BC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Ross Newman,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Ginny Nyberg,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Rowe,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Jaime Silva-Gburek,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Joy L Solano,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Willen,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- 11/07/2025</w:t>
            </w:r>
          </w:p>
        </w:tc>
      </w:tr>
    </w:tbl>
    <w:p w:rsidR="00993B4D">
      <w:pPr>
        <w:bidi w:val="0"/>
        <w:spacing w:after="280" w:afterAutospacing="1"/>
        <w:rPr>
          <w:rFonts w:asciiTheme="majorHAnsi" w:hAnsiTheme="majorHAnsi" w:cstheme="majorHAnsi"/>
          <w:iCs/>
          <w:noProof/>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rPr>
          <w:rFonts w:asciiTheme="majorHAnsi" w:hAnsiTheme="majorHAnsi" w:cstheme="majorHAnsi"/>
        </w:rPr>
      </w:pPr>
    </w:p>
    <w:p w:rsidR="008138F7" w:rsidRPr="008138F7" w:rsidP="008138F7">
      <w:pPr>
        <w:tabs>
          <w:tab w:val="left" w:pos="9348"/>
        </w:tabs>
        <w:rPr>
          <w:rFonts w:asciiTheme="majorHAnsi" w:hAnsiTheme="majorHAnsi" w:cstheme="majorHAnsi"/>
        </w:rPr>
      </w:pPr>
      <w:r>
        <w:rPr>
          <w:rFonts w:asciiTheme="majorHAnsi" w:hAnsiTheme="majorHAnsi" w:cstheme="majorHAnsi"/>
        </w:rPr>
        <w:tab/>
      </w:r>
    </w:p>
    <w:sectPr w:rsidSect="004359FA">
      <w:headerReference w:type="even" r:id="rId14"/>
      <w:headerReference w:type="default" r:id="rId15"/>
      <w:footerReference w:type="default" r:id="rId16"/>
      <w:headerReference w:type="first" r:id="rId17"/>
      <w:pgSz w:w="12240" w:h="15840"/>
      <w:pgMar w:top="1152" w:right="864" w:bottom="864" w:left="864" w:header="28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rsidRPr="008138F7" w:rsidP="008138F7">
    <w:pPr>
      <w:pStyle w:val="Footer"/>
      <w:rPr>
        <w:rFonts w:ascii="Calibri" w:hAnsi="Calibri" w:cs="Calibri"/>
      </w:rPr>
    </w:pPr>
    <w:r>
      <w:rPr>
        <w:rFonts w:ascii="Calibri" w:hAnsi="Calibri" w:cs="Calibri"/>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6" o:spid="_x0000_s2051" type="#_x0000_t75" style="height:44.4pt;margin-left:-99.15pt;margin-top:689.55pt;mso-position-horizontal-relative:margin;mso-position-vertical-relative:margin;position:absolute;width:750.25pt;z-index:-251656192" o:allowincell="f">
          <v:imagedata r:id="rId1" o:title="CMKC Color Border"/>
          <w10:wrap anchorx="margin" anchory="margin"/>
        </v:shape>
      </w:pict>
    </w:r>
    <w:r w:rsidRPr="008138F7" w:rsidR="008138F7">
      <w:rPr>
        <w:rFonts w:ascii="Calibri" w:hAnsi="Calibri" w:cs="Calibri"/>
      </w:rPr>
      <w:t>Rev. 12/2025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5" o:spid="_x0000_s2049" type="#_x0000_t75" style="height:44.4pt;margin-left:0;margin-top:0;mso-position-horizontal:center;mso-position-horizontal-relative:margin;mso-position-vertical:center;mso-position-vertical-relative:margin;position:absolute;width:750.25pt;z-index:-251657216" o:allowincell="f">
          <v:imagedata r:id="rId1" o:title="CMKC Color Borde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b/>
        <w:noProof/>
      </w:rPr>
      <w:drawing>
        <wp:anchor distT="0" distB="0" distL="114300" distR="114300" simplePos="0" relativeHeight="251662336" behindDoc="1" locked="0" layoutInCell="1" allowOverlap="1">
          <wp:simplePos x="0" y="0"/>
          <wp:positionH relativeFrom="column">
            <wp:posOffset>5676900</wp:posOffset>
          </wp:positionH>
          <wp:positionV relativeFrom="paragraph">
            <wp:posOffset>396240</wp:posOffset>
          </wp:positionV>
          <wp:extent cx="1480185" cy="311785"/>
          <wp:effectExtent l="0" t="0" r="5715" b="0"/>
          <wp:wrapTight wrapText="bothSides">
            <wp:wrapPolygon>
              <wp:start x="0" y="0"/>
              <wp:lineTo x="0" y="19796"/>
              <wp:lineTo x="21405" y="19796"/>
              <wp:lineTo x="21405" y="0"/>
              <wp:lineTo x="0" y="0"/>
            </wp:wrapPolygon>
          </wp:wrapTight>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0" y="0"/>
                    <a:ext cx="1480185" cy="311785"/>
                  </a:xfrm>
                  <a:prstGeom prst="rect">
                    <a:avLst/>
                  </a:prstGeom>
                  <a:noFill/>
                  <a:ln>
                    <a:noFill/>
                  </a:ln>
                </pic:spPr>
              </pic:pic>
            </a:graphicData>
          </a:graphic>
        </wp:anchor>
      </w:drawing>
    </w: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height:44.4pt;margin-left:-130.35pt;margin-top:-57.45pt;mso-position-horizontal-relative:margin;mso-position-vertical-relative:margin;position:absolute;width:750.25pt;z-index:-251655168" o:allowincell="f">
          <v:imagedata r:id="rId2" o:title="CMKC Color Borde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54F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3234" o:spid="_x0000_s2052" type="#_x0000_t75" style="height:44.4pt;margin-left:0;margin-top:0;mso-position-horizontal:center;mso-position-horizontal-relative:margin;mso-position-vertical:center;mso-position-vertical-relative:margin;position:absolute;width:750.25pt;z-index:-251658240" o:allowincell="f">
          <v:imagedata r:id="rId1" o:title="CMKC Color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6CE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s>
</file>

<file path=word/_rels/header2.xml.rels>&#65279;<?xml version="1.0" encoding="utf-8" standalone="yes"?><Relationships xmlns="http://schemas.openxmlformats.org/package/2006/relationships"><Relationship Id="rId1" Type="http://schemas.openxmlformats.org/officeDocument/2006/relationships/image" Target="media/image8.jpeg" /><Relationship Id="rId2" Type="http://schemas.openxmlformats.org/officeDocument/2006/relationships/image" Target="media/image7.png" /></Relationships>
</file>

<file path=word/_rels/header3.xml.rels>&#65279;<?xml version="1.0" encoding="utf-8" standalone="yes"?><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2147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13</cp:revision>
  <dcterms:created xsi:type="dcterms:W3CDTF">2025-12-03T18:58:00Z</dcterms:created>
  <dcterms:modified xsi:type="dcterms:W3CDTF">2025-12-12T00:14:00Z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