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2026 Surgery</w:t>
      </w:r>
      <w:r w:rsidRPr="00BB1D75" w:rsidR="00693C14">
        <w:rPr>
          <w:rFonts w:ascii="Arial" w:hAnsi="Arial" w:cs="Arial"/>
          <w:b/>
          <w:bCs/>
          <w:color w:val="005EB8"/>
          <w:sz w:val="36"/>
          <w:szCs w:val="36"/>
        </w:rPr>
        <w:t xml:space="preserve"> Grand Rounds - Dr. Rex and Lillian Diveley Pediatric Orthopaedic Lectureship - Lessons Learned in 28 years of Academic Clinical Practice.</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8/13</w:t>
            </w:r>
            <w:r w:rsidRPr="00B946B1">
              <w:rPr>
                <w:rFonts w:asciiTheme="majorHAnsi" w:hAnsiTheme="majorHAnsi" w:cstheme="majorHAnsi"/>
                <w:bCs/>
                <w:noProof/>
              </w:rPr>
              <w:t>/2026 8:00:00 AM</w:t>
            </w:r>
            <w:r w:rsidRPr="00B946B1">
              <w:rPr>
                <w:rFonts w:asciiTheme="majorHAnsi" w:hAnsiTheme="majorHAnsi" w:cstheme="majorHAnsi"/>
                <w:bCs/>
                <w:noProof/>
              </w:rPr>
              <w:t xml:space="preserve"> - </w:t>
            </w:r>
            <w:r w:rsidRPr="00B946B1">
              <w:rPr>
                <w:rFonts w:asciiTheme="majorHAnsi" w:hAnsiTheme="majorHAnsi" w:cstheme="majorHAnsi"/>
                <w:bCs/>
                <w:noProof/>
              </w:rPr>
              <w:t>8/13</w:t>
            </w:r>
            <w:r w:rsidRPr="00B946B1">
              <w:rPr>
                <w:rFonts w:asciiTheme="majorHAnsi" w:hAnsiTheme="majorHAnsi" w:cstheme="majorHAnsi"/>
                <w:bCs/>
                <w:noProof/>
              </w:rPr>
              <w:t>/2026 9:00:00 AM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8787</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r w:rsidRPr="00B946B1">
              <w:rPr>
                <w:rFonts w:asciiTheme="majorHAnsi" w:hAnsiTheme="majorHAnsi" w:cstheme="majorHAnsi"/>
                <w:bCs/>
                <w:noProof/>
              </w:rPr>
              <w:t>Big Slick</w:t>
            </w:r>
            <w:r w:rsidRPr="00B946B1">
              <w:rPr>
                <w:rFonts w:asciiTheme="majorHAnsi" w:hAnsiTheme="majorHAnsi" w:cstheme="majorHAnsi"/>
                <w:bCs/>
                <w:noProof/>
              </w:rPr>
              <w:t xml:space="preserve"> Auditorium (CMRI)</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bl>
            <w:tblPr>
              <w:tblW w:w="5000" w:type="pct"/>
              <w:jc w:val="left"/>
              <w:tblCellSpacing w:w="15" w:type="dxa"/>
              <w:tblInd w:w="0" w:type="dxa"/>
              <w:tblCellMar>
                <w:top w:w="15" w:type="dxa"/>
                <w:left w:w="15" w:type="dxa"/>
                <w:bottom w:w="15" w:type="dxa"/>
                <w:right w:w="15" w:type="dxa"/>
              </w:tblCellMar>
            </w:tblPr>
            <w:tblGrid>
              <w:gridCol w:w="9986"/>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Daniel J. Sucato, MD, MS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Chief of Staff at Scottish Rite for Children and Professor of Orthopaedic Surgery at The University of Texas Southwestern Medical Center in Dallas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bl>
          <w:p>
            <w:pPr>
              <w:rPr>
                <w:rtl w:val="0"/>
              </w:rPr>
            </w:pP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p>
          <w:p>
            <w:pPr>
              <w:bidi w:val="0"/>
              <w:spacing w:after="280" w:afterAutospacing="1"/>
              <w:rPr>
                <w:rtl w:val="0"/>
              </w:rPr>
            </w:pPr>
            <w:r>
              <w:rPr>
                <w:rtl w:val="0"/>
              </w:rPr>
              <w:fldChar w:fldCharType="begin"/>
            </w:r>
            <w:r>
              <w:rPr>
                <w:rtl w:val="0"/>
              </w:rPr>
              <w:instrText xml:space="preserve"> HYPERLINK "https://cmkc.tv/45gLmfS" </w:instrText>
            </w:r>
            <w:r>
              <w:rPr>
                <w:rtl w:val="0"/>
              </w:rPr>
              <w:fldChar w:fldCharType="separate"/>
            </w:r>
            <w:r>
              <w:rPr>
                <w:color w:val="0000FF"/>
                <w:u w:val="single"/>
                <w:rtl w:val="0"/>
              </w:rPr>
              <w:t>Click here to join the presentation from your laptop or computer.</w:t>
            </w:r>
            <w:r>
              <w:rPr>
                <w:rtl w:val="0"/>
              </w:rPr>
              <w:fldChar w:fldCharType="end"/>
            </w:r>
          </w:p>
          <w:p>
            <w:pPr>
              <w:bidi w:val="0"/>
              <w:spacing w:after="280" w:afterAutospacing="1"/>
              <w:rPr>
                <w:rtl w:val="0"/>
              </w:rPr>
            </w:pPr>
            <w:r>
              <w:rPr>
                <w:rtl w:val="0"/>
              </w:rPr>
              <w:t>Or cut and past this link into your browser: </w:t>
            </w:r>
            <w:r>
              <w:rPr>
                <w:rtl w:val="0"/>
              </w:rPr>
              <w:t>https://cmkc.tv/4a3SbTM</w:t>
            </w:r>
          </w:p>
          <w:p>
            <w:pPr>
              <w:bidi w:val="0"/>
              <w:spacing w:after="280" w:afterAutospacing="1"/>
              <w:rPr>
                <w:rtl w:val="0"/>
              </w:rPr>
            </w:pPr>
            <w:r>
              <w:rPr>
                <w:rtl w:val="0"/>
              </w:rPr>
              <w:br/>
            </w:r>
            <w:r>
              <w:rPr>
                <w:rtl w:val="0"/>
              </w:rPr>
              <w:t>Local and national leaders present pediatric topics in their area of specialty during this monthly series.</w:t>
            </w:r>
          </w:p>
          <w:p w:rsidR="00E27446" w:rsidRPr="00B946B1">
            <w:pPr>
              <w:bidi w:val="0"/>
              <w:spacing w:after="280" w:afterAutospacing="1"/>
              <w:rPr>
                <w:rFonts w:asciiTheme="majorHAnsi" w:hAnsiTheme="majorHAnsi" w:cstheme="majorHAnsi"/>
                <w:bCs/>
                <w:noProof/>
              </w:rPr>
            </w:pP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r w:rsidRPr="00B946B1">
        <w:rPr>
          <w:rFonts w:asciiTheme="majorHAnsi" w:hAnsiTheme="majorHAnsi" w:cstheme="majorHAnsi"/>
          <w:noProof/>
        </w:rPr>
        <w:t>1 Define</w:t>
      </w:r>
      <w:r w:rsidRPr="00B946B1">
        <w:rPr>
          <w:rFonts w:asciiTheme="majorHAnsi" w:hAnsiTheme="majorHAnsi" w:cstheme="majorHAnsi"/>
        </w:rPr>
        <w:t xml:space="preserve"> some of the approaches to managing complications.</w:t>
      </w:r>
    </w:p>
    <w:p w:rsidRPr="00B946B1" w:rsidP="006A623D">
      <w:pPr>
        <w:spacing w:line="240" w:lineRule="auto"/>
        <w:rPr>
          <w:rFonts w:asciiTheme="majorHAnsi" w:hAnsiTheme="majorHAnsi" w:cstheme="majorHAnsi"/>
        </w:rPr>
      </w:pPr>
      <w:r w:rsidRPr="00B946B1">
        <w:rPr>
          <w:rFonts w:asciiTheme="majorHAnsi" w:hAnsiTheme="majorHAnsi" w:cstheme="majorHAnsi"/>
        </w:rPr>
        <w:t>2 Understand the concept of deliberate practice.</w:t>
      </w:r>
    </w:p>
    <w:p w:rsidR="0026437A" w:rsidRPr="00B946B1" w:rsidP="006A623D">
      <w:pPr>
        <w:spacing w:line="240" w:lineRule="auto"/>
        <w:rPr>
          <w:rFonts w:asciiTheme="majorHAnsi" w:hAnsiTheme="majorHAnsi" w:cstheme="majorHAnsi"/>
        </w:rPr>
      </w:pPr>
      <w:r w:rsidRPr="00B946B1">
        <w:rPr>
          <w:rFonts w:asciiTheme="majorHAnsi" w:hAnsiTheme="majorHAnsi" w:cstheme="majorHAnsi"/>
        </w:rPr>
        <w:t>3 Take away some strategies regarding the approach to medicine to avoid burnout.</w:t>
      </w:r>
    </w:p>
    <w:p w:rsidR="0005349C" w:rsidP="00394BCA">
      <w:pPr>
        <w:spacing w:before="240" w:after="120"/>
        <w:rPr>
          <w:rFonts w:asciiTheme="majorHAnsi" w:hAnsiTheme="majorHAnsi" w:cstheme="majorHAnsi"/>
          <w:b/>
          <w:iCs/>
          <w:color w:val="000000" w:themeColor="text1"/>
          <w:sz w:val="24"/>
          <w:szCs w:val="24"/>
          <w:u w:val="single"/>
        </w:rPr>
      </w:pPr>
      <w:r>
        <w:rPr>
          <w:rFonts w:asciiTheme="majorHAnsi" w:hAnsiTheme="majorHAnsi" w:cstheme="majorHAnsi"/>
          <w:b/>
          <w:iCs/>
          <w:color w:val="000000" w:themeColor="text1"/>
          <w:sz w:val="24"/>
          <w:szCs w:val="24"/>
          <w:u w:val="single"/>
        </w:rPr>
        <w:t xml:space="preserve">CRITERIA </w:t>
      </w:r>
      <w:r w:rsidR="00305751">
        <w:rPr>
          <w:rFonts w:asciiTheme="majorHAnsi" w:hAnsiTheme="majorHAnsi" w:cstheme="majorHAnsi"/>
          <w:b/>
          <w:iCs/>
          <w:color w:val="000000" w:themeColor="text1"/>
          <w:sz w:val="24"/>
          <w:szCs w:val="24"/>
          <w:u w:val="single"/>
        </w:rPr>
        <w:t>FOR</w:t>
      </w:r>
      <w:r>
        <w:rPr>
          <w:rFonts w:asciiTheme="majorHAnsi" w:hAnsiTheme="majorHAnsi" w:cstheme="majorHAnsi"/>
          <w:b/>
          <w:iCs/>
          <w:color w:val="000000" w:themeColor="text1"/>
          <w:sz w:val="24"/>
          <w:szCs w:val="24"/>
          <w:u w:val="single"/>
        </w:rPr>
        <w:t xml:space="preserve"> SUCCESSFUL COMPLETION:</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Record attendance as directed</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Fully participate in the activity</w:t>
      </w:r>
    </w:p>
    <w:p w:rsidR="0005349C" w:rsidRP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Complete the evaluation by the deadline shared at the activity</w:t>
      </w: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1.00</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1.00</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0.00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1.00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noProof/>
          <w:color w:val="212529"/>
          <w:shd w:val="clear" w:color="auto" w:fill="FFFFFF"/>
        </w:rPr>
        <w:instrText>1.00</w:instrText>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t>American Board of Pathology (ABPath)</w:t>
      </w:r>
    </w:p>
    <w:p w:rsidR="00833E38" w:rsidP="000D1A06">
      <w:pPr>
        <w:rPr>
          <w:rFonts w:asciiTheme="majorHAnsi" w:hAnsiTheme="majorHAnsi" w:cstheme="majorHAnsi"/>
          <w:color w:val="212529"/>
          <w:shd w:val="clear" w:color="auto" w:fill="FFFFFF"/>
        </w:rPr>
      </w:pPr>
      <w:r>
        <w:rPr>
          <w:rFonts w:asciiTheme="majorHAnsi" w:hAnsiTheme="majorHAnsi" w:cstheme="majorHAnsi"/>
          <w:noProof/>
          <w:color w:val="212529"/>
          <w:shd w:val="clear" w:color="auto" w:fill="FFFFFF"/>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1297120071"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t xml:space="preserve">Successful completion of this CME activity, which includes participation in the evaluation component, enables the participant to earn up to </w:t>
      </w:r>
      <w:r w:rsidR="005C4D3F">
        <w:rPr>
          <w:rFonts w:asciiTheme="majorHAnsi" w:hAnsiTheme="majorHAnsi" w:cstheme="majorHAnsi"/>
          <w:noProof/>
          <w:color w:val="212529"/>
          <w:shd w:val="clear" w:color="auto" w:fill="FFFFFF"/>
        </w:rPr>
        <w:t>1.00</w:t>
      </w:r>
      <w:r w:rsidR="005C4D3F">
        <w:rPr>
          <w:rFonts w:asciiTheme="majorHAnsi" w:hAnsiTheme="majorHAnsi" w:cstheme="majorHAnsi"/>
          <w:color w:val="212529"/>
          <w:shd w:val="clear" w:color="auto" w:fill="FFFFFF"/>
        </w:rPr>
        <w:t xml:space="preserve"> Lifelong Learning credit in the American Board of Pathology (ABPath) Continuous Certification program. It is the CME provider's responsibility to submit learner completion information to the ACCME for the purpose of granting ABPath credit.</w:t>
      </w:r>
      <w:r>
        <w:rPr>
          <w:rFonts w:asciiTheme="majorHAnsi" w:hAnsiTheme="majorHAnsi" w:cstheme="majorHAnsi"/>
          <w:color w:val="212529"/>
          <w:shd w:val="clear" w:color="auto" w:fill="FFFFFF"/>
        </w:rPr>
        <w:fldChar w:fldCharType="end"/>
      </w:r>
      <w:r w:rsidRPr="00B946B1" w:rsidR="00D16426">
        <w:rPr>
          <w:rFonts w:asciiTheme="majorHAnsi" w:hAnsiTheme="majorHAnsi" w:cstheme="majorHAnsi"/>
          <w:b/>
          <w:iCs/>
        </w:rPr>
        <w:fldChar w:fldCharType="begin"/>
      </w:r>
      <w:r w:rsidRPr="00B946B1" w:rsidR="00D16426">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sidR="00D16426">
        <w:rPr>
          <w:rFonts w:asciiTheme="majorHAnsi" w:hAnsiTheme="majorHAnsi" w:cstheme="majorHAnsi"/>
          <w:b/>
          <w:iCs/>
        </w:rPr>
        <w:instrText xml:space="preserve"> </w:instrText>
      </w:r>
      <w:r w:rsidRPr="00B946B1" w:rsidR="00D16426">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009F3F49">
        <w:rPr>
          <w:rFonts w:asciiTheme="majorHAnsi" w:hAnsiTheme="majorHAnsi" w:cstheme="majorHAnsi"/>
          <w:noProof/>
        </w:rPr>
        <w:fldChar w:fldCharType="begin"/>
      </w:r>
      <w:r w:rsidR="009F3F49">
        <w:rPr>
          <w:rFonts w:asciiTheme="majorHAnsi" w:hAnsiTheme="majorHAnsi" w:cstheme="majorHAnsi"/>
          <w:noProof/>
        </w:rPr>
        <w:instrText xml:space="preserve"> MERGEFIELD  ABPMOC2Max  \* MERGEFORMAT </w:instrText>
      </w:r>
      <w:r w:rsidR="009F3F49">
        <w:rPr>
          <w:rFonts w:asciiTheme="majorHAnsi" w:hAnsiTheme="majorHAnsi" w:cstheme="majorHAnsi"/>
          <w:noProof/>
        </w:rPr>
        <w:fldChar w:fldCharType="separate"/>
      </w:r>
      <w:r w:rsidR="009F3F49">
        <w:rPr>
          <w:rFonts w:asciiTheme="majorHAnsi" w:hAnsiTheme="majorHAnsi" w:cstheme="majorHAnsi"/>
          <w:noProof/>
        </w:rPr>
        <w:instrText>«ABPMOC2Max»</w:instrText>
      </w:r>
      <w:r w:rsidR="009F3F49">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2824A3" w:rsidP="000D1A06">
      <w:pPr>
        <w:spacing w:before="240" w:after="120"/>
        <w:rPr>
          <w:rFonts w:asciiTheme="majorHAnsi" w:hAnsiTheme="majorHAnsi" w:cstheme="majorHAnsi"/>
          <w:b/>
          <w:i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A1124">
        <w:rPr>
          <w:rFonts w:asciiTheme="majorHAnsi" w:hAnsiTheme="majorHAnsi" w:cstheme="majorHAnsi"/>
          <w:b/>
          <w:iCs/>
        </w:rPr>
        <w:instrText xml:space="preserve"> </w:instrText>
      </w:r>
      <w:r>
        <w:rPr>
          <w:rFonts w:asciiTheme="majorHAnsi" w:hAnsiTheme="majorHAnsi" w:cstheme="majorHAnsi"/>
          <w:b/>
          <w:iCs/>
        </w:rPr>
        <w:instrText>0 "</w:instrText>
      </w:r>
    </w:p>
    <w:p w:rsidR="002824A3" w:rsidP="002824A3">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DF70D7" w:rsidP="00DF70D7">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9504" behindDoc="1" locked="0" layoutInCell="1" allowOverlap="1">
            <wp:simplePos x="0" y="0"/>
            <wp:positionH relativeFrom="column">
              <wp:posOffset>13335</wp:posOffset>
            </wp:positionH>
            <wp:positionV relativeFrom="paragraph">
              <wp:posOffset>76835</wp:posOffset>
            </wp:positionV>
            <wp:extent cx="470323" cy="502920"/>
            <wp:effectExtent l="0" t="0" r="6350" b="0"/>
            <wp:wrapTight wrapText="bothSides">
              <wp:wrapPolygon>
                <wp:start x="0" y="0"/>
                <wp:lineTo x="0" y="20455"/>
                <wp:lineTo x="21016" y="20455"/>
                <wp:lineTo x="21016" y="0"/>
                <wp:lineTo x="0" y="0"/>
              </wp:wrapPolygon>
            </wp:wrapTight>
            <wp:docPr id="8" name="Picture 8"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enables the learner to earn credit toward the CME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F70D7" w:rsidP="00DF70D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582DC9"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70528" behindDoc="1" locked="0" layoutInCell="1" allowOverlap="1">
            <wp:simplePos x="0" y="0"/>
            <wp:positionH relativeFrom="margin">
              <wp:align>left</wp:align>
            </wp:positionH>
            <wp:positionV relativeFrom="paragraph">
              <wp:posOffset>106680</wp:posOffset>
            </wp:positionV>
            <wp:extent cx="470323" cy="502920"/>
            <wp:effectExtent l="0" t="0" r="6350" b="0"/>
            <wp:wrapTight wrapText="bothSides">
              <wp:wrapPolygon>
                <wp:start x="0" y="0"/>
                <wp:lineTo x="0" y="20455"/>
                <wp:lineTo x="21016" y="20455"/>
                <wp:lineTo x="21016" y="0"/>
                <wp:lineTo x="0" y="0"/>
              </wp:wrapPolygon>
            </wp:wrapTight>
            <wp:docPr id="10" name="Picture 10"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sidR="00DF70D7">
        <w:rPr>
          <w:rFonts w:asciiTheme="majorHAnsi" w:hAnsiTheme="majorHAnsi" w:cstheme="majorHAnsi"/>
          <w:bCs/>
          <w:iCs/>
        </w:rPr>
        <w:instrText>Successful completion of this CME activity, which includes participation in the evaluation component, enables the learner to earn credit toward the CME and Self-Assessment requirements of the American Board of Physical Medicine and Rehabilitation's Continuous Certification program. It is the CME activity provider's responsibility to submit learner completion information to ACCME for the purpose of granting ABPMR credit." ""</w:instrText>
      </w:r>
      <w:r w:rsidR="00DF70D7">
        <w:rPr>
          <w:rFonts w:asciiTheme="majorHAnsi" w:hAnsiTheme="majorHAnsi" w:cstheme="majorHAnsi"/>
          <w:b/>
          <w:iCs/>
        </w:rPr>
        <w:fldChar w:fldCharType="separate"/>
      </w:r>
      <w:r w:rsidR="00DF70D7">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582DC9" w:rsidP="00582DC9">
      <w:pPr>
        <w:spacing w:before="240" w:after="120"/>
        <w:rPr>
          <w:rFonts w:asciiTheme="majorHAnsi" w:hAnsiTheme="majorHAnsi" w:cstheme="majorHAnsi"/>
          <w:b/>
          <w:iCs/>
        </w:rPr>
      </w:pPr>
      <w:r>
        <w:rPr>
          <w:rFonts w:asciiTheme="majorHAnsi" w:hAnsiTheme="majorHAnsi" w:cstheme="majorHAnsi"/>
          <w:b/>
          <w:iCs/>
        </w:rPr>
        <w:instrText xml:space="preserve"> American Board of Physical Medicine and Rehabilitation (ABPMR)</w:instrText>
      </w:r>
    </w:p>
    <w:p w:rsidR="006F17E7" w:rsidP="00582DC9">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7456" behindDoc="1" locked="0" layoutInCell="1" allowOverlap="1">
            <wp:simplePos x="0" y="0"/>
            <wp:positionH relativeFrom="margin">
              <wp:align>left</wp:align>
            </wp:positionH>
            <wp:positionV relativeFrom="paragraph">
              <wp:posOffset>57150</wp:posOffset>
            </wp:positionV>
            <wp:extent cx="470323" cy="502920"/>
            <wp:effectExtent l="0" t="0" r="6350" b="0"/>
            <wp:wrapTight wrapText="bothSides">
              <wp:wrapPolygon>
                <wp:start x="0" y="0"/>
                <wp:lineTo x="0" y="20455"/>
                <wp:lineTo x="21016" y="20455"/>
                <wp:lineTo x="21016" y="0"/>
                <wp:lineTo x="0" y="0"/>
              </wp:wrapPolygon>
            </wp:wrapTight>
            <wp:docPr id="11" name="Picture 11"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Improving Health and Health Care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6F17E7" w:rsidP="006F17E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C67746"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8480" behindDoc="1" locked="0" layoutInCell="1" allowOverlap="1">
            <wp:simplePos x="0" y="0"/>
            <wp:positionH relativeFrom="margin">
              <wp:align>left</wp:align>
            </wp:positionH>
            <wp:positionV relativeFrom="paragraph">
              <wp:posOffset>104775</wp:posOffset>
            </wp:positionV>
            <wp:extent cx="470323" cy="502920"/>
            <wp:effectExtent l="0" t="0" r="6350" b="0"/>
            <wp:wrapTight wrapText="bothSides">
              <wp:wrapPolygon>
                <wp:start x="0" y="0"/>
                <wp:lineTo x="0" y="20455"/>
                <wp:lineTo x="21016" y="20455"/>
                <wp:lineTo x="21016" y="0"/>
                <wp:lineTo x="0" y="0"/>
              </wp:wrapPolygon>
            </wp:wrapTight>
            <wp:docPr id="12" name="Picture 12"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Patient Safety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p>
    <w:p w:rsidR="00615379" w:rsidP="000D1A06">
      <w:pPr>
        <w:spacing w:before="240" w:after="120"/>
        <w:rPr>
          <w:rFonts w:asciiTheme="majorHAnsi" w:hAnsiTheme="majorHAnsi" w:cstheme="majorHAnsi"/>
          <w:b/>
          <w:bCs/>
        </w:rPr>
      </w:pP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1.00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4384"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p>
    <w:p w:rsidR="00615379" w:rsidRPr="00202CB4" w:rsidP="00615379">
      <w:pPr>
        <w:spacing w:after="0"/>
        <w:rPr>
          <w:rFonts w:asciiTheme="majorHAnsi" w:hAnsiTheme="majorHAnsi" w:cstheme="majorHAnsi"/>
        </w:rPr>
      </w:pPr>
      <w:r w:rsidRPr="00202CB4">
        <w:rPr>
          <w:rFonts w:asciiTheme="majorHAnsi" w:hAnsiTheme="majorHAnsi" w:cstheme="majorHAnsi"/>
          <w:b/>
          <w:bCs/>
        </w:rPr>
        <w:t>American Board of Surger</w:t>
      </w:r>
      <w:r>
        <w:rPr>
          <w:rFonts w:asciiTheme="majorHAnsi" w:hAnsiTheme="majorHAnsi" w:cstheme="majorHAnsi"/>
          <w:b/>
          <w:bCs/>
        </w:rPr>
        <w:t>y</w:t>
      </w:r>
      <w:r w:rsidR="006F0D31">
        <w:rPr>
          <w:rFonts w:asciiTheme="majorHAnsi" w:hAnsiTheme="majorHAnsi" w:cstheme="majorHAnsi"/>
          <w:b/>
          <w:bCs/>
        </w:rPr>
        <w:t xml:space="preserve"> (ABS)</w:t>
      </w:r>
    </w:p>
    <w:p w:rsidR="00615379"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5408"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1290700276"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Pr>
          <w:rFonts w:asciiTheme="majorHAnsi" w:hAnsiTheme="majorHAnsi" w:cstheme="majorHAnsi"/>
          <w:color w:val="212529"/>
          <w:shd w:val="clear" w:color="auto" w:fill="FFFFFF"/>
        </w:rPr>
        <w: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t>
      </w:r>
      <w:r>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sidR="00614901">
        <w:rPr>
          <w:rFonts w:asciiTheme="majorHAnsi" w:hAnsiTheme="majorHAnsi" w:cstheme="majorHAnsi"/>
          <w:b/>
          <w:bCs/>
          <w:noProof/>
        </w:rPr>
        <w:instrText>0.00</w:instrText>
      </w:r>
      <w:r w:rsidR="00614901">
        <w:rPr>
          <w:rFonts w:asciiTheme="majorHAnsi" w:hAnsiTheme="majorHAnsi" w:cstheme="majorHAnsi"/>
          <w:b/>
          <w:bCs/>
        </w:rPr>
        <w:instrText xml:space="preserve"> </w:instrText>
      </w:r>
      <w:r w:rsidR="00614901">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6432"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1.00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t>American Board of Thoracic Surgery (ABTS)</w:t>
      </w:r>
    </w:p>
    <w:p w:rsidR="00615379" w:rsidP="000D1A06">
      <w:pPr>
        <w:spacing w:after="0"/>
        <w:rPr>
          <w:rFonts w:asciiTheme="majorHAnsi" w:hAnsiTheme="majorHAnsi" w:cstheme="majorHAnsi"/>
          <w:b/>
          <w:bCs/>
        </w:rPr>
      </w:pPr>
      <w:r>
        <w:rPr>
          <w:rFonts w:asciiTheme="majorHAnsi" w:hAnsiTheme="majorHAnsi" w:cstheme="majorHAnsi"/>
        </w:rPr>
        <w: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w:t>
      </w:r>
      <w:r>
        <w:rPr>
          <w:rFonts w:asciiTheme="majorHAnsi" w:hAnsiTheme="majorHAnsi" w:cstheme="majorHAnsi"/>
          <w:b/>
          <w:bCs/>
        </w:rPr>
        <w:fldChar w:fldCharType="end"/>
      </w:r>
      <w:r w:rsidR="00B97F23">
        <w:rPr>
          <w:rFonts w:asciiTheme="majorHAnsi" w:hAnsiTheme="majorHAnsi" w:cstheme="majorHAnsi"/>
          <w:b/>
          <w:bCs/>
        </w:rPr>
        <w:fldChar w:fldCharType="begin"/>
      </w:r>
      <w:r w:rsidR="00B97F23">
        <w:rPr>
          <w:rFonts w:asciiTheme="majorHAnsi" w:hAnsiTheme="majorHAnsi" w:cstheme="majorHAnsi"/>
          <w:b/>
          <w:bCs/>
        </w:rPr>
        <w:instrText xml:space="preserve"> IF  </w:instrText>
      </w:r>
      <w:r w:rsidR="00B97F23">
        <w:rPr>
          <w:rFonts w:asciiTheme="majorHAnsi" w:hAnsiTheme="majorHAnsi" w:cstheme="majorHAnsi"/>
          <w:b/>
          <w:bCs/>
          <w:noProof/>
        </w:rPr>
        <w:instrText>0.00</w:instrText>
      </w:r>
      <w:r w:rsidR="00B97F23">
        <w:rPr>
          <w:rFonts w:asciiTheme="majorHAnsi" w:hAnsiTheme="majorHAnsi" w:cstheme="majorHAnsi"/>
          <w:b/>
          <w:bCs/>
        </w:rPr>
        <w:instrText xml:space="preserve"> </w:instrText>
      </w:r>
      <w:r w:rsidR="00B97F23">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Participants who meet the criteria for successful completion will receive </w:instrText>
      </w:r>
      <w:r>
        <w:rPr>
          <w:rFonts w:asciiTheme="majorHAnsi" w:hAnsiTheme="majorHAnsi" w:cstheme="majorHAnsi"/>
          <w:bCs/>
          <w:iCs/>
        </w:rPr>
        <w:fldChar w:fldCharType="begin"/>
      </w:r>
      <w:r>
        <w:rPr>
          <w:rFonts w:asciiTheme="majorHAnsi" w:hAnsiTheme="majorHAnsi" w:cstheme="majorHAnsi"/>
          <w:bCs/>
          <w:iCs/>
        </w:rPr>
        <w:instrText xml:space="preserve"> MERGEFIELD  ANCCHoursMax  \* MERGEFORMAT </w:instrText>
      </w:r>
      <w:r>
        <w:rPr>
          <w:rFonts w:asciiTheme="majorHAnsi" w:hAnsiTheme="majorHAnsi" w:cstheme="majorHAnsi"/>
          <w:bCs/>
          <w:iCs/>
        </w:rPr>
        <w:fldChar w:fldCharType="separate"/>
      </w:r>
      <w:r>
        <w:rPr>
          <w:rFonts w:asciiTheme="majorHAnsi" w:hAnsiTheme="majorHAnsi" w:cstheme="majorHAnsi"/>
          <w:bCs/>
          <w:iCs/>
          <w:noProof/>
        </w:rPr>
        <w:instrText>«ANCCHoursMax»</w:instrText>
      </w:r>
      <w:r>
        <w:rPr>
          <w:rFonts w:asciiTheme="majorHAnsi" w:hAnsiTheme="majorHAnsi" w:cstheme="majorHAnsi"/>
          <w:bCs/>
          <w:iCs/>
        </w:rPr>
        <w:fldChar w:fldCharType="end"/>
      </w:r>
      <w:r>
        <w:rPr>
          <w:rFonts w:asciiTheme="majorHAnsi" w:hAnsiTheme="majorHAnsi" w:cstheme="majorHAnsi"/>
          <w:bCs/>
          <w:iCs/>
        </w:rPr>
        <w:instrText xml:space="preserve">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 xml:space="preserve">Children's Mercy Kansas City is approved as a provider of nursing continuing professional development by </w:instrText>
      </w:r>
      <w:r w:rsidR="008138F7">
        <w:rPr>
          <w:rFonts w:asciiTheme="majorHAnsi" w:hAnsiTheme="majorHAnsi" w:cstheme="majorHAnsi"/>
          <w:bCs/>
          <w:iCs/>
        </w:rPr>
        <w:instrText>VTL Center for Professional Development</w:instrText>
      </w:r>
      <w:r>
        <w:rPr>
          <w:rFonts w:asciiTheme="majorHAnsi" w:hAnsiTheme="majorHAnsi" w:cstheme="majorHAnsi"/>
          <w:bCs/>
          <w:iCs/>
        </w:rPr>
        <w:instrText xml:space="preserve">, an accredited </w:instrText>
      </w:r>
      <w:r w:rsidR="008138F7">
        <w:rPr>
          <w:rFonts w:asciiTheme="majorHAnsi" w:hAnsiTheme="majorHAnsi" w:cstheme="majorHAnsi"/>
          <w:bCs/>
          <w:iCs/>
        </w:rPr>
        <w:instrText>approver</w:instrText>
      </w:r>
      <w:r>
        <w:rPr>
          <w:rFonts w:asciiTheme="majorHAnsi" w:hAnsiTheme="majorHAnsi" w:cstheme="majorHAnsi"/>
          <w:bCs/>
          <w:iCs/>
        </w:rPr>
        <w:instrText xml:space="preserve"> by the American Nurses Credntialing Center's Commission on Accreditation." ""</w:instrText>
      </w:r>
      <w:r>
        <w:rPr>
          <w:rFonts w:asciiTheme="majorHAnsi" w:hAnsiTheme="majorHAnsi" w:cstheme="majorHAnsi"/>
          <w:b/>
          <w:iCs/>
        </w:rPr>
        <w:fldChar w:fldCharType="separate"/>
      </w:r>
      <w:r>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w:instrText>
      </w:r>
      <w:r w:rsidR="0025067B">
        <w:rPr>
          <w:rFonts w:asciiTheme="majorHAnsi" w:hAnsiTheme="majorHAnsi" w:cstheme="majorHAnsi"/>
          <w:b/>
          <w:iCs/>
        </w:rPr>
        <w:instrText>t</w:instrText>
      </w:r>
      <w:r w:rsidRPr="00B946B1">
        <w:rPr>
          <w:rFonts w:asciiTheme="majorHAnsi" w:hAnsiTheme="majorHAnsi" w:cstheme="majorHAnsi"/>
          <w:b/>
          <w:iCs/>
        </w:rPr>
        <w:instrText>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This program has been approved for Dieti</w:instrText>
      </w:r>
      <w:r w:rsidR="0025067B">
        <w:rPr>
          <w:rFonts w:asciiTheme="majorHAnsi" w:hAnsiTheme="majorHAnsi" w:cstheme="majorHAnsi"/>
          <w:bCs/>
          <w:iCs/>
        </w:rPr>
        <w:instrText>t</w:instrText>
      </w:r>
      <w:r w:rsidRPr="00B946B1">
        <w:rPr>
          <w:rFonts w:asciiTheme="majorHAnsi" w:hAnsiTheme="majorHAnsi" w:cstheme="majorHAnsi"/>
          <w:bCs/>
          <w:iCs/>
        </w:rPr>
        <w:instrText xml:space="preserve">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SWHoursMax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«SWHoursMax»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r w:rsidRPr="00B946B1">
        <w:rPr>
          <w:rFonts w:asciiTheme="majorHAnsi" w:hAnsiTheme="majorHAnsi" w:cstheme="majorHAnsi"/>
        </w:rPr>
        <w:t>Children's Mercy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Carrie Jones, 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Tolu Oyetunji, MD, MPH,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 J. Sucato, MD,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- 06/19/2026</w:t>
            </w:r>
          </w:p>
        </w:tc>
      </w:tr>
    </w:tbl>
    <w:p w:rsidR="00993B4D">
      <w:pPr>
        <w:bidi w:val="0"/>
        <w:spacing w:after="280" w:afterAutospacing="1"/>
        <w:rPr>
          <w:rFonts w:asciiTheme="majorHAnsi" w:hAnsiTheme="majorHAnsi" w:cstheme="majorHAnsi"/>
          <w:iCs/>
          <w:noProof/>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tabs>
          <w:tab w:val="left" w:pos="9348"/>
        </w:tabs>
        <w:rPr>
          <w:rFonts w:asciiTheme="majorHAnsi" w:hAnsiTheme="majorHAnsi" w:cstheme="majorHAnsi"/>
        </w:rPr>
      </w:pPr>
      <w:r>
        <w:rPr>
          <w:rFonts w:asciiTheme="majorHAnsi" w:hAnsiTheme="majorHAnsi" w:cstheme="majorHAnsi"/>
        </w:rPr>
        <w:tab/>
      </w:r>
    </w:p>
    <w:sectPr w:rsidSect="004359FA">
      <w:headerReference w:type="even" r:id="rId14"/>
      <w:headerReference w:type="default" r:id="rId15"/>
      <w:footerReference w:type="default" r:id="rId16"/>
      <w:headerReference w:type="first" r:id="rId17"/>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rsidRPr="008138F7" w:rsidP="008138F7">
    <w:pPr>
      <w:pStyle w:val="Footer"/>
      <w:rPr>
        <w:rFonts w:ascii="Calibri" w:hAnsi="Calibri" w:cs="Calibri"/>
      </w:rPr>
    </w:pPr>
    <w:r>
      <w:rPr>
        <w:rFonts w:ascii="Calibri" w:hAnsi="Calibri" w:cs="Calibri"/>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r w:rsidRPr="008138F7" w:rsidR="008138F7">
      <w:rPr>
        <w:rFonts w:ascii="Calibri" w:hAnsi="Calibri" w:cs="Calibri"/>
      </w:rPr>
      <w:t>Rev. 2/202</w:t>
    </w:r>
    <w:r w:rsidR="0005349C">
      <w:rPr>
        <w:rFonts w:ascii="Calibri" w:hAnsi="Calibri" w:cs="Calibri"/>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203508"/>
    <w:multiLevelType w:val="hybridMultilevel"/>
    <w:tmpl w:val="79647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C83704"/>
    <w:multiLevelType w:val="hybridMultilevel"/>
    <w:tmpl w:val="A0160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CE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 w:type="paragraph" w:styleId="ListParagraph">
    <w:name w:val="List Paragraph"/>
    <w:basedOn w:val="Normal"/>
    <w:uiPriority w:val="34"/>
    <w:qFormat/>
    <w:rsid w:val="00053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_rels/header2.xml.rels>&#65279;<?xml version="1.0" encoding="utf-8" standalone="yes"?><Relationships xmlns="http://schemas.openxmlformats.org/package/2006/relationships"><Relationship Id="rId1" Type="http://schemas.openxmlformats.org/officeDocument/2006/relationships/image" Target="media/image8.jpeg" /><Relationship Id="rId2" Type="http://schemas.openxmlformats.org/officeDocument/2006/relationships/image" Target="media/image7.png" /></Relationships>
</file>

<file path=word/_rels/header3.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customXml/itemProps2.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3.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4.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4</cp:revision>
  <dcterms:created xsi:type="dcterms:W3CDTF">2026-02-04T15:08:00Z</dcterms:created>
  <dcterms:modified xsi:type="dcterms:W3CDTF">2026-02-04T16:56:00Z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